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9F2F1" w14:textId="6F0BEDCA" w:rsidR="00746B3D" w:rsidRPr="00E43E8E" w:rsidRDefault="00746B3D" w:rsidP="00746B3D">
      <w:pPr>
        <w:pStyle w:val="Title"/>
      </w:pPr>
      <w:bookmarkStart w:id="0" w:name="_Hlk193453923"/>
      <w:r w:rsidRPr="00223C5F">
        <w:rPr>
          <w:noProof/>
        </w:rPr>
        <w:drawing>
          <wp:anchor distT="0" distB="0" distL="114300" distR="114300" simplePos="0" relativeHeight="251658241" behindDoc="0" locked="0" layoutInCell="1" allowOverlap="1" wp14:anchorId="3062D4F6" wp14:editId="37AE4F3A">
            <wp:simplePos x="0" y="0"/>
            <wp:positionH relativeFrom="column">
              <wp:posOffset>2839671</wp:posOffset>
            </wp:positionH>
            <wp:positionV relativeFrom="page">
              <wp:posOffset>668117</wp:posOffset>
            </wp:positionV>
            <wp:extent cx="2988000" cy="445398"/>
            <wp:effectExtent l="0" t="0" r="3175" b="0"/>
            <wp:wrapNone/>
            <wp:docPr id="333092432"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92432" name="Picture 1" descr="A black text on a white background&#10;&#10;AI-generated content may be incorrect."/>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88000" cy="445398"/>
                    </a:xfrm>
                    <a:prstGeom prst="rect">
                      <a:avLst/>
                    </a:prstGeom>
                  </pic:spPr>
                </pic:pic>
              </a:graphicData>
            </a:graphic>
            <wp14:sizeRelH relativeFrom="margin">
              <wp14:pctWidth>0</wp14:pctWidth>
            </wp14:sizeRelH>
            <wp14:sizeRelV relativeFrom="margin">
              <wp14:pctHeight>0</wp14:pctHeight>
            </wp14:sizeRelV>
          </wp:anchor>
        </w:drawing>
      </w:r>
      <w:r w:rsidRPr="00746B3D">
        <w:t xml:space="preserve">Issues Paper: Access to </w:t>
      </w:r>
      <w:r w:rsidR="000D4362">
        <w:br/>
      </w:r>
      <w:r w:rsidRPr="00746B3D">
        <w:t>Basic Transaction Accounts</w:t>
      </w:r>
    </w:p>
    <w:bookmarkEnd w:id="0"/>
    <w:p w14:paraId="31A9CF2F" w14:textId="2E26E0F8" w:rsidR="00746B3D" w:rsidRPr="00E43E8E" w:rsidRDefault="00746B3D" w:rsidP="00746B3D">
      <w:pPr>
        <w:pStyle w:val="Subtitle"/>
      </w:pPr>
      <w:r w:rsidRPr="00746B3D">
        <w:t>Council of Financial Regulators Financial Inclusion Community of Practice</w:t>
      </w:r>
    </w:p>
    <w:p w14:paraId="5A7E0A6D" w14:textId="6206B89C" w:rsidR="00746B3D" w:rsidRPr="00E43E8E" w:rsidRDefault="00746B3D" w:rsidP="00746B3D">
      <w:pPr>
        <w:pStyle w:val="Date"/>
      </w:pPr>
      <w:r>
        <w:rPr>
          <w:noProof/>
        </w:rPr>
        <w:drawing>
          <wp:anchor distT="0" distB="0" distL="114300" distR="114300" simplePos="0" relativeHeight="251658240" behindDoc="0" locked="0" layoutInCell="1" allowOverlap="1" wp14:anchorId="79881EAB" wp14:editId="760D8C51">
            <wp:simplePos x="0" y="0"/>
            <wp:positionH relativeFrom="column">
              <wp:posOffset>-895985</wp:posOffset>
            </wp:positionH>
            <wp:positionV relativeFrom="page">
              <wp:posOffset>5473700</wp:posOffset>
            </wp:positionV>
            <wp:extent cx="7560000" cy="4535166"/>
            <wp:effectExtent l="0" t="0" r="3175" b="0"/>
            <wp:wrapNone/>
            <wp:docPr id="1040302755" name="Picture 3" descr="A colorful rectangles on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02755" name="Picture 3" descr="A colorful rectangles on a surfa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4535166"/>
                    </a:xfrm>
                    <a:prstGeom prst="rect">
                      <a:avLst/>
                    </a:prstGeom>
                  </pic:spPr>
                </pic:pic>
              </a:graphicData>
            </a:graphic>
            <wp14:sizeRelH relativeFrom="margin">
              <wp14:pctWidth>0</wp14:pctWidth>
            </wp14:sizeRelH>
            <wp14:sizeRelV relativeFrom="margin">
              <wp14:pctHeight>0</wp14:pctHeight>
            </wp14:sizeRelV>
          </wp:anchor>
        </w:drawing>
      </w:r>
      <w:r>
        <w:rPr>
          <w:noProof/>
        </w:rPr>
        <w:t>2</w:t>
      </w:r>
      <w:r w:rsidR="007C33B4">
        <w:rPr>
          <w:noProof/>
        </w:rPr>
        <w:t>3 April</w:t>
      </w:r>
      <w:r w:rsidRPr="00E43E8E">
        <w:t xml:space="preserve"> 2025</w:t>
      </w:r>
      <w:r w:rsidRPr="00E43E8E">
        <w:br w:type="page"/>
      </w:r>
    </w:p>
    <w:p w14:paraId="40733135" w14:textId="77777777" w:rsidR="00746B3D" w:rsidRDefault="00746B3D" w:rsidP="00746B3D">
      <w:pPr>
        <w:pStyle w:val="TOCHeading"/>
      </w:pPr>
      <w:r w:rsidRPr="00F6341A">
        <w:lastRenderedPageBreak/>
        <w:t>Contents</w:t>
      </w:r>
    </w:p>
    <w:p w14:paraId="51184419" w14:textId="00C56703" w:rsidR="00246E71" w:rsidRDefault="00746B3D">
      <w:pPr>
        <w:pStyle w:val="TOC1"/>
        <w:rPr>
          <w:rFonts w:asciiTheme="minorHAnsi" w:eastAsiaTheme="minorEastAsia" w:hAnsiTheme="minorHAnsi"/>
          <w:noProof/>
          <w:kern w:val="2"/>
          <w:sz w:val="24"/>
          <w:szCs w:val="24"/>
          <w:lang w:eastAsia="en-NZ"/>
          <w14:ligatures w14:val="standardContextual"/>
        </w:rPr>
      </w:pPr>
      <w:r>
        <w:rPr>
          <w:rFonts w:ascii="Montserrat Semi Bold" w:hAnsi="Montserrat Semi Bold"/>
        </w:rPr>
        <w:fldChar w:fldCharType="begin"/>
      </w:r>
      <w:r>
        <w:instrText xml:space="preserve"> TOC \o "1-2" \h \z \u </w:instrText>
      </w:r>
      <w:r>
        <w:rPr>
          <w:rFonts w:ascii="Montserrat Semi Bold" w:hAnsi="Montserrat Semi Bold"/>
        </w:rPr>
        <w:fldChar w:fldCharType="separate"/>
      </w:r>
      <w:hyperlink w:anchor="_Toc196208737" w:history="1">
        <w:r w:rsidR="00246E71" w:rsidRPr="002F24EA">
          <w:rPr>
            <w:rStyle w:val="Hyperlink"/>
            <w:noProof/>
            <w:lang w:val="en"/>
          </w:rPr>
          <w:t>Foreword</w:t>
        </w:r>
        <w:r w:rsidR="00246E71">
          <w:rPr>
            <w:noProof/>
            <w:webHidden/>
          </w:rPr>
          <w:tab/>
        </w:r>
        <w:r w:rsidR="00246E71">
          <w:rPr>
            <w:noProof/>
            <w:webHidden/>
          </w:rPr>
          <w:fldChar w:fldCharType="begin"/>
        </w:r>
        <w:r w:rsidR="00246E71">
          <w:rPr>
            <w:noProof/>
            <w:webHidden/>
          </w:rPr>
          <w:instrText xml:space="preserve"> PAGEREF _Toc196208737 \h </w:instrText>
        </w:r>
        <w:r w:rsidR="00246E71">
          <w:rPr>
            <w:noProof/>
            <w:webHidden/>
          </w:rPr>
        </w:r>
        <w:r w:rsidR="00246E71">
          <w:rPr>
            <w:noProof/>
            <w:webHidden/>
          </w:rPr>
          <w:fldChar w:fldCharType="separate"/>
        </w:r>
        <w:r w:rsidR="00DA348C">
          <w:rPr>
            <w:noProof/>
            <w:webHidden/>
          </w:rPr>
          <w:t>2</w:t>
        </w:r>
        <w:r w:rsidR="00246E71">
          <w:rPr>
            <w:noProof/>
            <w:webHidden/>
          </w:rPr>
          <w:fldChar w:fldCharType="end"/>
        </w:r>
      </w:hyperlink>
    </w:p>
    <w:p w14:paraId="2AF94D86" w14:textId="567C1BA9" w:rsidR="00246E71" w:rsidRDefault="00246E71">
      <w:pPr>
        <w:pStyle w:val="TOC1"/>
        <w:rPr>
          <w:rFonts w:asciiTheme="minorHAnsi" w:eastAsiaTheme="minorEastAsia" w:hAnsiTheme="minorHAnsi"/>
          <w:noProof/>
          <w:kern w:val="2"/>
          <w:sz w:val="24"/>
          <w:szCs w:val="24"/>
          <w:lang w:eastAsia="en-NZ"/>
          <w14:ligatures w14:val="standardContextual"/>
        </w:rPr>
      </w:pPr>
      <w:hyperlink w:anchor="_Toc196208738" w:history="1">
        <w:r w:rsidRPr="002F24EA">
          <w:rPr>
            <w:rStyle w:val="Hyperlink"/>
            <w:noProof/>
            <w:lang w:val="en"/>
          </w:rPr>
          <w:t>Executive</w:t>
        </w:r>
        <w:r w:rsidRPr="002F24EA">
          <w:rPr>
            <w:rStyle w:val="Hyperlink"/>
            <w:noProof/>
          </w:rPr>
          <w:t xml:space="preserve"> Summary</w:t>
        </w:r>
        <w:r>
          <w:rPr>
            <w:noProof/>
            <w:webHidden/>
          </w:rPr>
          <w:tab/>
        </w:r>
        <w:r>
          <w:rPr>
            <w:noProof/>
            <w:webHidden/>
          </w:rPr>
          <w:fldChar w:fldCharType="begin"/>
        </w:r>
        <w:r>
          <w:rPr>
            <w:noProof/>
            <w:webHidden/>
          </w:rPr>
          <w:instrText xml:space="preserve"> PAGEREF _Toc196208738 \h </w:instrText>
        </w:r>
        <w:r>
          <w:rPr>
            <w:noProof/>
            <w:webHidden/>
          </w:rPr>
        </w:r>
        <w:r>
          <w:rPr>
            <w:noProof/>
            <w:webHidden/>
          </w:rPr>
          <w:fldChar w:fldCharType="separate"/>
        </w:r>
        <w:r w:rsidR="00DA348C">
          <w:rPr>
            <w:noProof/>
            <w:webHidden/>
          </w:rPr>
          <w:t>3</w:t>
        </w:r>
        <w:r>
          <w:rPr>
            <w:noProof/>
            <w:webHidden/>
          </w:rPr>
          <w:fldChar w:fldCharType="end"/>
        </w:r>
      </w:hyperlink>
    </w:p>
    <w:p w14:paraId="391FCA5F" w14:textId="51F37996" w:rsidR="00246E71" w:rsidRDefault="00246E71">
      <w:pPr>
        <w:pStyle w:val="TOC1"/>
        <w:tabs>
          <w:tab w:val="left" w:pos="440"/>
        </w:tabs>
        <w:rPr>
          <w:rFonts w:asciiTheme="minorHAnsi" w:eastAsiaTheme="minorEastAsia" w:hAnsiTheme="minorHAnsi"/>
          <w:noProof/>
          <w:kern w:val="2"/>
          <w:sz w:val="24"/>
          <w:szCs w:val="24"/>
          <w:lang w:eastAsia="en-NZ"/>
          <w14:ligatures w14:val="standardContextual"/>
        </w:rPr>
      </w:pPr>
      <w:hyperlink w:anchor="_Toc196208739" w:history="1">
        <w:r w:rsidRPr="002F24EA">
          <w:rPr>
            <w:rStyle w:val="Hyperlink"/>
            <w:noProof/>
          </w:rPr>
          <w:t>1.</w:t>
        </w:r>
        <w:r>
          <w:rPr>
            <w:rFonts w:asciiTheme="minorHAnsi" w:eastAsiaTheme="minorEastAsia" w:hAnsiTheme="minorHAnsi"/>
            <w:noProof/>
            <w:kern w:val="2"/>
            <w:sz w:val="24"/>
            <w:szCs w:val="24"/>
            <w:lang w:eastAsia="en-NZ"/>
            <w14:ligatures w14:val="standardContextual"/>
          </w:rPr>
          <w:tab/>
        </w:r>
        <w:r w:rsidRPr="002F24EA">
          <w:rPr>
            <w:rStyle w:val="Hyperlink"/>
            <w:noProof/>
          </w:rPr>
          <w:t>Background and outline</w:t>
        </w:r>
        <w:r>
          <w:rPr>
            <w:noProof/>
            <w:webHidden/>
          </w:rPr>
          <w:tab/>
        </w:r>
        <w:r>
          <w:rPr>
            <w:noProof/>
            <w:webHidden/>
          </w:rPr>
          <w:fldChar w:fldCharType="begin"/>
        </w:r>
        <w:r>
          <w:rPr>
            <w:noProof/>
            <w:webHidden/>
          </w:rPr>
          <w:instrText xml:space="preserve"> PAGEREF _Toc196208739 \h </w:instrText>
        </w:r>
        <w:r>
          <w:rPr>
            <w:noProof/>
            <w:webHidden/>
          </w:rPr>
        </w:r>
        <w:r>
          <w:rPr>
            <w:noProof/>
            <w:webHidden/>
          </w:rPr>
          <w:fldChar w:fldCharType="separate"/>
        </w:r>
        <w:r w:rsidR="00DA348C">
          <w:rPr>
            <w:noProof/>
            <w:webHidden/>
          </w:rPr>
          <w:t>6</w:t>
        </w:r>
        <w:r>
          <w:rPr>
            <w:noProof/>
            <w:webHidden/>
          </w:rPr>
          <w:fldChar w:fldCharType="end"/>
        </w:r>
      </w:hyperlink>
    </w:p>
    <w:p w14:paraId="13A37D4D" w14:textId="14001DE6" w:rsidR="00246E71" w:rsidRDefault="00246E71">
      <w:pPr>
        <w:pStyle w:val="TOC1"/>
        <w:tabs>
          <w:tab w:val="left" w:pos="440"/>
        </w:tabs>
        <w:rPr>
          <w:rFonts w:asciiTheme="minorHAnsi" w:eastAsiaTheme="minorEastAsia" w:hAnsiTheme="minorHAnsi"/>
          <w:noProof/>
          <w:kern w:val="2"/>
          <w:sz w:val="24"/>
          <w:szCs w:val="24"/>
          <w:lang w:eastAsia="en-NZ"/>
          <w14:ligatures w14:val="standardContextual"/>
        </w:rPr>
      </w:pPr>
      <w:hyperlink w:anchor="_Toc196208740" w:history="1">
        <w:r w:rsidRPr="002F24EA">
          <w:rPr>
            <w:rStyle w:val="Hyperlink"/>
            <w:noProof/>
          </w:rPr>
          <w:t>2.</w:t>
        </w:r>
        <w:r>
          <w:rPr>
            <w:rFonts w:asciiTheme="minorHAnsi" w:eastAsiaTheme="minorEastAsia" w:hAnsiTheme="minorHAnsi"/>
            <w:noProof/>
            <w:kern w:val="2"/>
            <w:sz w:val="24"/>
            <w:szCs w:val="24"/>
            <w:lang w:eastAsia="en-NZ"/>
            <w14:ligatures w14:val="standardContextual"/>
          </w:rPr>
          <w:tab/>
        </w:r>
        <w:r w:rsidRPr="002F24EA">
          <w:rPr>
            <w:rStyle w:val="Hyperlink"/>
            <w:noProof/>
          </w:rPr>
          <w:t>The current state of access to transaction accounts</w:t>
        </w:r>
        <w:r>
          <w:rPr>
            <w:noProof/>
            <w:webHidden/>
          </w:rPr>
          <w:tab/>
        </w:r>
        <w:r>
          <w:rPr>
            <w:noProof/>
            <w:webHidden/>
          </w:rPr>
          <w:fldChar w:fldCharType="begin"/>
        </w:r>
        <w:r>
          <w:rPr>
            <w:noProof/>
            <w:webHidden/>
          </w:rPr>
          <w:instrText xml:space="preserve"> PAGEREF _Toc196208740 \h </w:instrText>
        </w:r>
        <w:r>
          <w:rPr>
            <w:noProof/>
            <w:webHidden/>
          </w:rPr>
        </w:r>
        <w:r>
          <w:rPr>
            <w:noProof/>
            <w:webHidden/>
          </w:rPr>
          <w:fldChar w:fldCharType="separate"/>
        </w:r>
        <w:r w:rsidR="00DA348C">
          <w:rPr>
            <w:noProof/>
            <w:webHidden/>
          </w:rPr>
          <w:t>8</w:t>
        </w:r>
        <w:r>
          <w:rPr>
            <w:noProof/>
            <w:webHidden/>
          </w:rPr>
          <w:fldChar w:fldCharType="end"/>
        </w:r>
      </w:hyperlink>
    </w:p>
    <w:p w14:paraId="020A9DD6" w14:textId="6B6B0209" w:rsidR="00246E71" w:rsidRDefault="00246E71">
      <w:pPr>
        <w:pStyle w:val="TOC2"/>
        <w:tabs>
          <w:tab w:val="left" w:pos="720"/>
        </w:tabs>
        <w:rPr>
          <w:rFonts w:eastAsiaTheme="minorEastAsia"/>
          <w:noProof/>
          <w:kern w:val="2"/>
          <w:sz w:val="24"/>
          <w:szCs w:val="24"/>
          <w:lang w:eastAsia="en-NZ"/>
          <w14:ligatures w14:val="standardContextual"/>
        </w:rPr>
      </w:pPr>
      <w:hyperlink w:anchor="_Toc196208741" w:history="1">
        <w:r w:rsidRPr="002F24EA">
          <w:rPr>
            <w:rStyle w:val="Hyperlink"/>
            <w:noProof/>
          </w:rPr>
          <w:t>2.1.</w:t>
        </w:r>
        <w:r>
          <w:rPr>
            <w:rFonts w:eastAsiaTheme="minorEastAsia"/>
            <w:noProof/>
            <w:kern w:val="2"/>
            <w:sz w:val="24"/>
            <w:szCs w:val="24"/>
            <w:lang w:eastAsia="en-NZ"/>
            <w14:ligatures w14:val="standardContextual"/>
          </w:rPr>
          <w:tab/>
        </w:r>
        <w:r w:rsidRPr="002F24EA">
          <w:rPr>
            <w:rStyle w:val="Hyperlink"/>
            <w:noProof/>
          </w:rPr>
          <w:t>Issues and friction points in opening transaction accounts</w:t>
        </w:r>
        <w:r>
          <w:rPr>
            <w:noProof/>
            <w:webHidden/>
          </w:rPr>
          <w:tab/>
        </w:r>
        <w:r>
          <w:rPr>
            <w:noProof/>
            <w:webHidden/>
          </w:rPr>
          <w:fldChar w:fldCharType="begin"/>
        </w:r>
        <w:r>
          <w:rPr>
            <w:noProof/>
            <w:webHidden/>
          </w:rPr>
          <w:instrText xml:space="preserve"> PAGEREF _Toc196208741 \h </w:instrText>
        </w:r>
        <w:r>
          <w:rPr>
            <w:noProof/>
            <w:webHidden/>
          </w:rPr>
        </w:r>
        <w:r>
          <w:rPr>
            <w:noProof/>
            <w:webHidden/>
          </w:rPr>
          <w:fldChar w:fldCharType="separate"/>
        </w:r>
        <w:r w:rsidR="00DA348C">
          <w:rPr>
            <w:noProof/>
            <w:webHidden/>
          </w:rPr>
          <w:t>9</w:t>
        </w:r>
        <w:r>
          <w:rPr>
            <w:noProof/>
            <w:webHidden/>
          </w:rPr>
          <w:fldChar w:fldCharType="end"/>
        </w:r>
      </w:hyperlink>
    </w:p>
    <w:p w14:paraId="6C55CA52" w14:textId="65E75C41" w:rsidR="00246E71" w:rsidRDefault="00246E71">
      <w:pPr>
        <w:pStyle w:val="TOC2"/>
        <w:tabs>
          <w:tab w:val="left" w:pos="720"/>
        </w:tabs>
        <w:rPr>
          <w:rFonts w:eastAsiaTheme="minorEastAsia"/>
          <w:noProof/>
          <w:kern w:val="2"/>
          <w:sz w:val="24"/>
          <w:szCs w:val="24"/>
          <w:lang w:eastAsia="en-NZ"/>
          <w14:ligatures w14:val="standardContextual"/>
        </w:rPr>
      </w:pPr>
      <w:hyperlink w:anchor="_Toc196208742" w:history="1">
        <w:r w:rsidRPr="002F24EA">
          <w:rPr>
            <w:rStyle w:val="Hyperlink"/>
            <w:noProof/>
          </w:rPr>
          <w:t>2.2.</w:t>
        </w:r>
        <w:r>
          <w:rPr>
            <w:rFonts w:eastAsiaTheme="minorEastAsia"/>
            <w:noProof/>
            <w:kern w:val="2"/>
            <w:sz w:val="24"/>
            <w:szCs w:val="24"/>
            <w:lang w:eastAsia="en-NZ"/>
            <w14:ligatures w14:val="standardContextual"/>
          </w:rPr>
          <w:tab/>
        </w:r>
        <w:r w:rsidRPr="002F24EA">
          <w:rPr>
            <w:rStyle w:val="Hyperlink"/>
            <w:noProof/>
          </w:rPr>
          <w:t>The economics of transaction accounts</w:t>
        </w:r>
        <w:r>
          <w:rPr>
            <w:noProof/>
            <w:webHidden/>
          </w:rPr>
          <w:tab/>
        </w:r>
        <w:r>
          <w:rPr>
            <w:noProof/>
            <w:webHidden/>
          </w:rPr>
          <w:fldChar w:fldCharType="begin"/>
        </w:r>
        <w:r>
          <w:rPr>
            <w:noProof/>
            <w:webHidden/>
          </w:rPr>
          <w:instrText xml:space="preserve"> PAGEREF _Toc196208742 \h </w:instrText>
        </w:r>
        <w:r>
          <w:rPr>
            <w:noProof/>
            <w:webHidden/>
          </w:rPr>
        </w:r>
        <w:r>
          <w:rPr>
            <w:noProof/>
            <w:webHidden/>
          </w:rPr>
          <w:fldChar w:fldCharType="separate"/>
        </w:r>
        <w:r w:rsidR="00DA348C">
          <w:rPr>
            <w:noProof/>
            <w:webHidden/>
          </w:rPr>
          <w:t>11</w:t>
        </w:r>
        <w:r>
          <w:rPr>
            <w:noProof/>
            <w:webHidden/>
          </w:rPr>
          <w:fldChar w:fldCharType="end"/>
        </w:r>
      </w:hyperlink>
    </w:p>
    <w:p w14:paraId="323F92BE" w14:textId="44F3E36D" w:rsidR="00246E71" w:rsidRDefault="00246E71">
      <w:pPr>
        <w:pStyle w:val="TOC2"/>
        <w:tabs>
          <w:tab w:val="left" w:pos="720"/>
        </w:tabs>
        <w:rPr>
          <w:rFonts w:eastAsiaTheme="minorEastAsia"/>
          <w:noProof/>
          <w:kern w:val="2"/>
          <w:sz w:val="24"/>
          <w:szCs w:val="24"/>
          <w:lang w:eastAsia="en-NZ"/>
          <w14:ligatures w14:val="standardContextual"/>
        </w:rPr>
      </w:pPr>
      <w:hyperlink w:anchor="_Toc196208743" w:history="1">
        <w:r w:rsidRPr="002F24EA">
          <w:rPr>
            <w:rStyle w:val="Hyperlink"/>
            <w:noProof/>
          </w:rPr>
          <w:t>2.3.</w:t>
        </w:r>
        <w:r>
          <w:rPr>
            <w:rFonts w:eastAsiaTheme="minorEastAsia"/>
            <w:noProof/>
            <w:kern w:val="2"/>
            <w:sz w:val="24"/>
            <w:szCs w:val="24"/>
            <w:lang w:eastAsia="en-NZ"/>
            <w14:ligatures w14:val="standardContextual"/>
          </w:rPr>
          <w:tab/>
        </w:r>
        <w:r w:rsidRPr="002F24EA">
          <w:rPr>
            <w:rStyle w:val="Hyperlink"/>
            <w:noProof/>
          </w:rPr>
          <w:t>Industry perspectives</w:t>
        </w:r>
        <w:r>
          <w:rPr>
            <w:noProof/>
            <w:webHidden/>
          </w:rPr>
          <w:tab/>
        </w:r>
        <w:r>
          <w:rPr>
            <w:noProof/>
            <w:webHidden/>
          </w:rPr>
          <w:fldChar w:fldCharType="begin"/>
        </w:r>
        <w:r>
          <w:rPr>
            <w:noProof/>
            <w:webHidden/>
          </w:rPr>
          <w:instrText xml:space="preserve"> PAGEREF _Toc196208743 \h </w:instrText>
        </w:r>
        <w:r>
          <w:rPr>
            <w:noProof/>
            <w:webHidden/>
          </w:rPr>
        </w:r>
        <w:r>
          <w:rPr>
            <w:noProof/>
            <w:webHidden/>
          </w:rPr>
          <w:fldChar w:fldCharType="separate"/>
        </w:r>
        <w:r w:rsidR="00DA348C">
          <w:rPr>
            <w:noProof/>
            <w:webHidden/>
          </w:rPr>
          <w:t>13</w:t>
        </w:r>
        <w:r>
          <w:rPr>
            <w:noProof/>
            <w:webHidden/>
          </w:rPr>
          <w:fldChar w:fldCharType="end"/>
        </w:r>
      </w:hyperlink>
    </w:p>
    <w:p w14:paraId="4BED639B" w14:textId="55F188F3" w:rsidR="00246E71" w:rsidRDefault="00246E71">
      <w:pPr>
        <w:pStyle w:val="TOC1"/>
        <w:tabs>
          <w:tab w:val="left" w:pos="440"/>
        </w:tabs>
        <w:rPr>
          <w:rFonts w:asciiTheme="minorHAnsi" w:eastAsiaTheme="minorEastAsia" w:hAnsiTheme="minorHAnsi"/>
          <w:noProof/>
          <w:kern w:val="2"/>
          <w:sz w:val="24"/>
          <w:szCs w:val="24"/>
          <w:lang w:eastAsia="en-NZ"/>
          <w14:ligatures w14:val="standardContextual"/>
        </w:rPr>
      </w:pPr>
      <w:hyperlink w:anchor="_Toc196208744" w:history="1">
        <w:r w:rsidRPr="002F24EA">
          <w:rPr>
            <w:rStyle w:val="Hyperlink"/>
            <w:noProof/>
          </w:rPr>
          <w:t>3.</w:t>
        </w:r>
        <w:r>
          <w:rPr>
            <w:rFonts w:asciiTheme="minorHAnsi" w:eastAsiaTheme="minorEastAsia" w:hAnsiTheme="minorHAnsi"/>
            <w:noProof/>
            <w:kern w:val="2"/>
            <w:sz w:val="24"/>
            <w:szCs w:val="24"/>
            <w:lang w:eastAsia="en-NZ"/>
            <w14:ligatures w14:val="standardContextual"/>
          </w:rPr>
          <w:tab/>
        </w:r>
        <w:r w:rsidRPr="002F24EA">
          <w:rPr>
            <w:rStyle w:val="Hyperlink"/>
            <w:noProof/>
          </w:rPr>
          <w:t>International experiences with basic transaction accounts</w:t>
        </w:r>
        <w:r>
          <w:rPr>
            <w:noProof/>
            <w:webHidden/>
          </w:rPr>
          <w:tab/>
        </w:r>
        <w:r>
          <w:rPr>
            <w:noProof/>
            <w:webHidden/>
          </w:rPr>
          <w:fldChar w:fldCharType="begin"/>
        </w:r>
        <w:r>
          <w:rPr>
            <w:noProof/>
            <w:webHidden/>
          </w:rPr>
          <w:instrText xml:space="preserve"> PAGEREF _Toc196208744 \h </w:instrText>
        </w:r>
        <w:r>
          <w:rPr>
            <w:noProof/>
            <w:webHidden/>
          </w:rPr>
        </w:r>
        <w:r>
          <w:rPr>
            <w:noProof/>
            <w:webHidden/>
          </w:rPr>
          <w:fldChar w:fldCharType="separate"/>
        </w:r>
        <w:r w:rsidR="00DA348C">
          <w:rPr>
            <w:noProof/>
            <w:webHidden/>
          </w:rPr>
          <w:t>14</w:t>
        </w:r>
        <w:r>
          <w:rPr>
            <w:noProof/>
            <w:webHidden/>
          </w:rPr>
          <w:fldChar w:fldCharType="end"/>
        </w:r>
      </w:hyperlink>
    </w:p>
    <w:p w14:paraId="6D131051" w14:textId="107108B2" w:rsidR="00246E71" w:rsidRDefault="00246E71">
      <w:pPr>
        <w:pStyle w:val="TOC2"/>
        <w:tabs>
          <w:tab w:val="left" w:pos="720"/>
        </w:tabs>
        <w:rPr>
          <w:rFonts w:eastAsiaTheme="minorEastAsia"/>
          <w:noProof/>
          <w:kern w:val="2"/>
          <w:sz w:val="24"/>
          <w:szCs w:val="24"/>
          <w:lang w:eastAsia="en-NZ"/>
          <w14:ligatures w14:val="standardContextual"/>
        </w:rPr>
      </w:pPr>
      <w:hyperlink w:anchor="_Toc196208745" w:history="1">
        <w:r w:rsidRPr="002F24EA">
          <w:rPr>
            <w:rStyle w:val="Hyperlink"/>
            <w:noProof/>
          </w:rPr>
          <w:t>3.1.</w:t>
        </w:r>
        <w:r>
          <w:rPr>
            <w:rFonts w:eastAsiaTheme="minorEastAsia"/>
            <w:noProof/>
            <w:kern w:val="2"/>
            <w:sz w:val="24"/>
            <w:szCs w:val="24"/>
            <w:lang w:eastAsia="en-NZ"/>
            <w14:ligatures w14:val="standardContextual"/>
          </w:rPr>
          <w:tab/>
        </w:r>
        <w:r w:rsidRPr="002F24EA">
          <w:rPr>
            <w:rStyle w:val="Hyperlink"/>
            <w:noProof/>
          </w:rPr>
          <w:t>Definitions and design features</w:t>
        </w:r>
        <w:r>
          <w:rPr>
            <w:noProof/>
            <w:webHidden/>
          </w:rPr>
          <w:tab/>
        </w:r>
        <w:r>
          <w:rPr>
            <w:noProof/>
            <w:webHidden/>
          </w:rPr>
          <w:fldChar w:fldCharType="begin"/>
        </w:r>
        <w:r>
          <w:rPr>
            <w:noProof/>
            <w:webHidden/>
          </w:rPr>
          <w:instrText xml:space="preserve"> PAGEREF _Toc196208745 \h </w:instrText>
        </w:r>
        <w:r>
          <w:rPr>
            <w:noProof/>
            <w:webHidden/>
          </w:rPr>
        </w:r>
        <w:r>
          <w:rPr>
            <w:noProof/>
            <w:webHidden/>
          </w:rPr>
          <w:fldChar w:fldCharType="separate"/>
        </w:r>
        <w:r w:rsidR="00DA348C">
          <w:rPr>
            <w:noProof/>
            <w:webHidden/>
          </w:rPr>
          <w:t>15</w:t>
        </w:r>
        <w:r>
          <w:rPr>
            <w:noProof/>
            <w:webHidden/>
          </w:rPr>
          <w:fldChar w:fldCharType="end"/>
        </w:r>
      </w:hyperlink>
    </w:p>
    <w:p w14:paraId="0F65D98E" w14:textId="22EE6E45" w:rsidR="00246E71" w:rsidRDefault="00246E71">
      <w:pPr>
        <w:pStyle w:val="TOC2"/>
        <w:tabs>
          <w:tab w:val="left" w:pos="720"/>
        </w:tabs>
        <w:rPr>
          <w:rFonts w:eastAsiaTheme="minorEastAsia"/>
          <w:noProof/>
          <w:kern w:val="2"/>
          <w:sz w:val="24"/>
          <w:szCs w:val="24"/>
          <w:lang w:eastAsia="en-NZ"/>
          <w14:ligatures w14:val="standardContextual"/>
        </w:rPr>
      </w:pPr>
      <w:hyperlink w:anchor="_Toc196208746" w:history="1">
        <w:r w:rsidRPr="002F24EA">
          <w:rPr>
            <w:rStyle w:val="Hyperlink"/>
            <w:noProof/>
          </w:rPr>
          <w:t>3.2.</w:t>
        </w:r>
        <w:r>
          <w:rPr>
            <w:rFonts w:eastAsiaTheme="minorEastAsia"/>
            <w:noProof/>
            <w:kern w:val="2"/>
            <w:sz w:val="24"/>
            <w:szCs w:val="24"/>
            <w:lang w:eastAsia="en-NZ"/>
            <w14:ligatures w14:val="standardContextual"/>
          </w:rPr>
          <w:tab/>
        </w:r>
        <w:r w:rsidRPr="002F24EA">
          <w:rPr>
            <w:rStyle w:val="Hyperlink"/>
            <w:noProof/>
          </w:rPr>
          <w:t>International policies and initiatives</w:t>
        </w:r>
        <w:r>
          <w:rPr>
            <w:noProof/>
            <w:webHidden/>
          </w:rPr>
          <w:tab/>
        </w:r>
        <w:r>
          <w:rPr>
            <w:noProof/>
            <w:webHidden/>
          </w:rPr>
          <w:fldChar w:fldCharType="begin"/>
        </w:r>
        <w:r>
          <w:rPr>
            <w:noProof/>
            <w:webHidden/>
          </w:rPr>
          <w:instrText xml:space="preserve"> PAGEREF _Toc196208746 \h </w:instrText>
        </w:r>
        <w:r>
          <w:rPr>
            <w:noProof/>
            <w:webHidden/>
          </w:rPr>
        </w:r>
        <w:r>
          <w:rPr>
            <w:noProof/>
            <w:webHidden/>
          </w:rPr>
          <w:fldChar w:fldCharType="separate"/>
        </w:r>
        <w:r w:rsidR="00DA348C">
          <w:rPr>
            <w:noProof/>
            <w:webHidden/>
          </w:rPr>
          <w:t>20</w:t>
        </w:r>
        <w:r>
          <w:rPr>
            <w:noProof/>
            <w:webHidden/>
          </w:rPr>
          <w:fldChar w:fldCharType="end"/>
        </w:r>
      </w:hyperlink>
    </w:p>
    <w:p w14:paraId="5157E63D" w14:textId="69742BF8" w:rsidR="00246E71" w:rsidRDefault="00246E71">
      <w:pPr>
        <w:pStyle w:val="TOC2"/>
        <w:tabs>
          <w:tab w:val="left" w:pos="720"/>
        </w:tabs>
        <w:rPr>
          <w:rFonts w:eastAsiaTheme="minorEastAsia"/>
          <w:noProof/>
          <w:kern w:val="2"/>
          <w:sz w:val="24"/>
          <w:szCs w:val="24"/>
          <w:lang w:eastAsia="en-NZ"/>
          <w14:ligatures w14:val="standardContextual"/>
        </w:rPr>
      </w:pPr>
      <w:hyperlink w:anchor="_Toc196208747" w:history="1">
        <w:r w:rsidRPr="002F24EA">
          <w:rPr>
            <w:rStyle w:val="Hyperlink"/>
            <w:noProof/>
          </w:rPr>
          <w:t>3.3.</w:t>
        </w:r>
        <w:r>
          <w:rPr>
            <w:rFonts w:eastAsiaTheme="minorEastAsia"/>
            <w:noProof/>
            <w:kern w:val="2"/>
            <w:sz w:val="24"/>
            <w:szCs w:val="24"/>
            <w:lang w:eastAsia="en-NZ"/>
            <w14:ligatures w14:val="standardContextual"/>
          </w:rPr>
          <w:tab/>
        </w:r>
        <w:r w:rsidRPr="002F24EA">
          <w:rPr>
            <w:rStyle w:val="Hyperlink"/>
            <w:noProof/>
          </w:rPr>
          <w:t>Regulatory requirements</w:t>
        </w:r>
        <w:r>
          <w:rPr>
            <w:noProof/>
            <w:webHidden/>
          </w:rPr>
          <w:tab/>
        </w:r>
        <w:r>
          <w:rPr>
            <w:noProof/>
            <w:webHidden/>
          </w:rPr>
          <w:fldChar w:fldCharType="begin"/>
        </w:r>
        <w:r>
          <w:rPr>
            <w:noProof/>
            <w:webHidden/>
          </w:rPr>
          <w:instrText xml:space="preserve"> PAGEREF _Toc196208747 \h </w:instrText>
        </w:r>
        <w:r>
          <w:rPr>
            <w:noProof/>
            <w:webHidden/>
          </w:rPr>
        </w:r>
        <w:r>
          <w:rPr>
            <w:noProof/>
            <w:webHidden/>
          </w:rPr>
          <w:fldChar w:fldCharType="separate"/>
        </w:r>
        <w:r w:rsidR="00DA348C">
          <w:rPr>
            <w:noProof/>
            <w:webHidden/>
          </w:rPr>
          <w:t>20</w:t>
        </w:r>
        <w:r>
          <w:rPr>
            <w:noProof/>
            <w:webHidden/>
          </w:rPr>
          <w:fldChar w:fldCharType="end"/>
        </w:r>
      </w:hyperlink>
    </w:p>
    <w:p w14:paraId="3428A134" w14:textId="117CD190" w:rsidR="00246E71" w:rsidRDefault="00246E71">
      <w:pPr>
        <w:pStyle w:val="TOC2"/>
        <w:tabs>
          <w:tab w:val="left" w:pos="720"/>
        </w:tabs>
        <w:rPr>
          <w:rFonts w:eastAsiaTheme="minorEastAsia"/>
          <w:noProof/>
          <w:kern w:val="2"/>
          <w:sz w:val="24"/>
          <w:szCs w:val="24"/>
          <w:lang w:eastAsia="en-NZ"/>
          <w14:ligatures w14:val="standardContextual"/>
        </w:rPr>
      </w:pPr>
      <w:hyperlink w:anchor="_Toc196208748" w:history="1">
        <w:r w:rsidRPr="002F24EA">
          <w:rPr>
            <w:rStyle w:val="Hyperlink"/>
            <w:noProof/>
          </w:rPr>
          <w:t>3.4.</w:t>
        </w:r>
        <w:r>
          <w:rPr>
            <w:rFonts w:eastAsiaTheme="minorEastAsia"/>
            <w:noProof/>
            <w:kern w:val="2"/>
            <w:sz w:val="24"/>
            <w:szCs w:val="24"/>
            <w:lang w:eastAsia="en-NZ"/>
            <w14:ligatures w14:val="standardContextual"/>
          </w:rPr>
          <w:tab/>
        </w:r>
        <w:r w:rsidRPr="002F24EA">
          <w:rPr>
            <w:rStyle w:val="Hyperlink"/>
            <w:noProof/>
          </w:rPr>
          <w:t>Industry-led Voluntary Codes</w:t>
        </w:r>
        <w:r>
          <w:rPr>
            <w:noProof/>
            <w:webHidden/>
          </w:rPr>
          <w:tab/>
        </w:r>
        <w:r>
          <w:rPr>
            <w:noProof/>
            <w:webHidden/>
          </w:rPr>
          <w:fldChar w:fldCharType="begin"/>
        </w:r>
        <w:r>
          <w:rPr>
            <w:noProof/>
            <w:webHidden/>
          </w:rPr>
          <w:instrText xml:space="preserve"> PAGEREF _Toc196208748 \h </w:instrText>
        </w:r>
        <w:r>
          <w:rPr>
            <w:noProof/>
            <w:webHidden/>
          </w:rPr>
        </w:r>
        <w:r>
          <w:rPr>
            <w:noProof/>
            <w:webHidden/>
          </w:rPr>
          <w:fldChar w:fldCharType="separate"/>
        </w:r>
        <w:r w:rsidR="00DA348C">
          <w:rPr>
            <w:noProof/>
            <w:webHidden/>
          </w:rPr>
          <w:t>22</w:t>
        </w:r>
        <w:r>
          <w:rPr>
            <w:noProof/>
            <w:webHidden/>
          </w:rPr>
          <w:fldChar w:fldCharType="end"/>
        </w:r>
      </w:hyperlink>
    </w:p>
    <w:p w14:paraId="15BD2913" w14:textId="5F532596" w:rsidR="00246E71" w:rsidRDefault="00246E71">
      <w:pPr>
        <w:pStyle w:val="TOC2"/>
        <w:tabs>
          <w:tab w:val="left" w:pos="720"/>
        </w:tabs>
        <w:rPr>
          <w:rFonts w:eastAsiaTheme="minorEastAsia"/>
          <w:noProof/>
          <w:kern w:val="2"/>
          <w:sz w:val="24"/>
          <w:szCs w:val="24"/>
          <w:lang w:eastAsia="en-NZ"/>
          <w14:ligatures w14:val="standardContextual"/>
        </w:rPr>
      </w:pPr>
      <w:hyperlink w:anchor="_Toc196208749" w:history="1">
        <w:r w:rsidRPr="002F24EA">
          <w:rPr>
            <w:rStyle w:val="Hyperlink"/>
            <w:noProof/>
          </w:rPr>
          <w:t>3.5.</w:t>
        </w:r>
        <w:r>
          <w:rPr>
            <w:rFonts w:eastAsiaTheme="minorEastAsia"/>
            <w:noProof/>
            <w:kern w:val="2"/>
            <w:sz w:val="24"/>
            <w:szCs w:val="24"/>
            <w:lang w:eastAsia="en-NZ"/>
            <w14:ligatures w14:val="standardContextual"/>
          </w:rPr>
          <w:tab/>
        </w:r>
        <w:r w:rsidRPr="002F24EA">
          <w:rPr>
            <w:rStyle w:val="Hyperlink"/>
            <w:noProof/>
          </w:rPr>
          <w:t>Hybrid approach – Collaboration to simplify account opening for basic accounts</w:t>
        </w:r>
        <w:r>
          <w:rPr>
            <w:noProof/>
            <w:webHidden/>
          </w:rPr>
          <w:tab/>
        </w:r>
        <w:r>
          <w:rPr>
            <w:noProof/>
            <w:webHidden/>
          </w:rPr>
          <w:fldChar w:fldCharType="begin"/>
        </w:r>
        <w:r>
          <w:rPr>
            <w:noProof/>
            <w:webHidden/>
          </w:rPr>
          <w:instrText xml:space="preserve"> PAGEREF _Toc196208749 \h </w:instrText>
        </w:r>
        <w:r>
          <w:rPr>
            <w:noProof/>
            <w:webHidden/>
          </w:rPr>
        </w:r>
        <w:r>
          <w:rPr>
            <w:noProof/>
            <w:webHidden/>
          </w:rPr>
          <w:fldChar w:fldCharType="separate"/>
        </w:r>
        <w:r w:rsidR="00DA348C">
          <w:rPr>
            <w:noProof/>
            <w:webHidden/>
          </w:rPr>
          <w:t>25</w:t>
        </w:r>
        <w:r>
          <w:rPr>
            <w:noProof/>
            <w:webHidden/>
          </w:rPr>
          <w:fldChar w:fldCharType="end"/>
        </w:r>
      </w:hyperlink>
    </w:p>
    <w:p w14:paraId="14DD87EF" w14:textId="0BE61535" w:rsidR="00246E71" w:rsidRDefault="00246E71">
      <w:pPr>
        <w:pStyle w:val="TOC2"/>
        <w:tabs>
          <w:tab w:val="left" w:pos="720"/>
        </w:tabs>
        <w:rPr>
          <w:rFonts w:eastAsiaTheme="minorEastAsia"/>
          <w:noProof/>
          <w:kern w:val="2"/>
          <w:sz w:val="24"/>
          <w:szCs w:val="24"/>
          <w:lang w:eastAsia="en-NZ"/>
          <w14:ligatures w14:val="standardContextual"/>
        </w:rPr>
      </w:pPr>
      <w:hyperlink w:anchor="_Toc196208750" w:history="1">
        <w:r w:rsidRPr="002F24EA">
          <w:rPr>
            <w:rStyle w:val="Hyperlink"/>
            <w:noProof/>
          </w:rPr>
          <w:t>3.6.</w:t>
        </w:r>
        <w:r>
          <w:rPr>
            <w:rFonts w:eastAsiaTheme="minorEastAsia"/>
            <w:noProof/>
            <w:kern w:val="2"/>
            <w:sz w:val="24"/>
            <w:szCs w:val="24"/>
            <w:lang w:eastAsia="en-NZ"/>
            <w14:ligatures w14:val="standardContextual"/>
          </w:rPr>
          <w:tab/>
        </w:r>
        <w:r w:rsidRPr="002F24EA">
          <w:rPr>
            <w:rStyle w:val="Hyperlink"/>
            <w:noProof/>
          </w:rPr>
          <w:t>Monitoring and ongoing reporting</w:t>
        </w:r>
        <w:r>
          <w:rPr>
            <w:noProof/>
            <w:webHidden/>
          </w:rPr>
          <w:tab/>
        </w:r>
        <w:r>
          <w:rPr>
            <w:noProof/>
            <w:webHidden/>
          </w:rPr>
          <w:fldChar w:fldCharType="begin"/>
        </w:r>
        <w:r>
          <w:rPr>
            <w:noProof/>
            <w:webHidden/>
          </w:rPr>
          <w:instrText xml:space="preserve"> PAGEREF _Toc196208750 \h </w:instrText>
        </w:r>
        <w:r>
          <w:rPr>
            <w:noProof/>
            <w:webHidden/>
          </w:rPr>
        </w:r>
        <w:r>
          <w:rPr>
            <w:noProof/>
            <w:webHidden/>
          </w:rPr>
          <w:fldChar w:fldCharType="separate"/>
        </w:r>
        <w:r w:rsidR="00DA348C">
          <w:rPr>
            <w:noProof/>
            <w:webHidden/>
          </w:rPr>
          <w:t>27</w:t>
        </w:r>
        <w:r>
          <w:rPr>
            <w:noProof/>
            <w:webHidden/>
          </w:rPr>
          <w:fldChar w:fldCharType="end"/>
        </w:r>
      </w:hyperlink>
    </w:p>
    <w:p w14:paraId="11B4A0FC" w14:textId="646C8E7B" w:rsidR="00246E71" w:rsidRDefault="00246E71">
      <w:pPr>
        <w:pStyle w:val="TOC2"/>
        <w:tabs>
          <w:tab w:val="left" w:pos="720"/>
        </w:tabs>
        <w:rPr>
          <w:rFonts w:eastAsiaTheme="minorEastAsia"/>
          <w:noProof/>
          <w:kern w:val="2"/>
          <w:sz w:val="24"/>
          <w:szCs w:val="24"/>
          <w:lang w:eastAsia="en-NZ"/>
          <w14:ligatures w14:val="standardContextual"/>
        </w:rPr>
      </w:pPr>
      <w:hyperlink w:anchor="_Toc196208751" w:history="1">
        <w:r w:rsidRPr="002F24EA">
          <w:rPr>
            <w:rStyle w:val="Hyperlink"/>
            <w:noProof/>
          </w:rPr>
          <w:t>3.7.</w:t>
        </w:r>
        <w:r>
          <w:rPr>
            <w:rFonts w:eastAsiaTheme="minorEastAsia"/>
            <w:noProof/>
            <w:kern w:val="2"/>
            <w:sz w:val="24"/>
            <w:szCs w:val="24"/>
            <w:lang w:eastAsia="en-NZ"/>
            <w14:ligatures w14:val="standardContextual"/>
          </w:rPr>
          <w:tab/>
        </w:r>
        <w:r w:rsidRPr="002F24EA">
          <w:rPr>
            <w:rStyle w:val="Hyperlink"/>
            <w:noProof/>
          </w:rPr>
          <w:t>Tailoring responses to domestic contexts and characteristics</w:t>
        </w:r>
        <w:r>
          <w:rPr>
            <w:noProof/>
            <w:webHidden/>
          </w:rPr>
          <w:tab/>
        </w:r>
        <w:r>
          <w:rPr>
            <w:noProof/>
            <w:webHidden/>
          </w:rPr>
          <w:fldChar w:fldCharType="begin"/>
        </w:r>
        <w:r>
          <w:rPr>
            <w:noProof/>
            <w:webHidden/>
          </w:rPr>
          <w:instrText xml:space="preserve"> PAGEREF _Toc196208751 \h </w:instrText>
        </w:r>
        <w:r>
          <w:rPr>
            <w:noProof/>
            <w:webHidden/>
          </w:rPr>
        </w:r>
        <w:r>
          <w:rPr>
            <w:noProof/>
            <w:webHidden/>
          </w:rPr>
          <w:fldChar w:fldCharType="separate"/>
        </w:r>
        <w:r w:rsidR="00DA348C">
          <w:rPr>
            <w:noProof/>
            <w:webHidden/>
          </w:rPr>
          <w:t>27</w:t>
        </w:r>
        <w:r>
          <w:rPr>
            <w:noProof/>
            <w:webHidden/>
          </w:rPr>
          <w:fldChar w:fldCharType="end"/>
        </w:r>
      </w:hyperlink>
    </w:p>
    <w:p w14:paraId="5990B01F" w14:textId="0BE8F937" w:rsidR="00246E71" w:rsidRDefault="00246E71">
      <w:pPr>
        <w:pStyle w:val="TOC1"/>
        <w:tabs>
          <w:tab w:val="left" w:pos="440"/>
        </w:tabs>
        <w:rPr>
          <w:rFonts w:asciiTheme="minorHAnsi" w:eastAsiaTheme="minorEastAsia" w:hAnsiTheme="minorHAnsi"/>
          <w:noProof/>
          <w:kern w:val="2"/>
          <w:sz w:val="24"/>
          <w:szCs w:val="24"/>
          <w:lang w:eastAsia="en-NZ"/>
          <w14:ligatures w14:val="standardContextual"/>
        </w:rPr>
      </w:pPr>
      <w:hyperlink w:anchor="_Toc196208752" w:history="1">
        <w:r w:rsidRPr="002F24EA">
          <w:rPr>
            <w:rStyle w:val="Hyperlink"/>
            <w:noProof/>
          </w:rPr>
          <w:t>4.</w:t>
        </w:r>
        <w:r>
          <w:rPr>
            <w:rFonts w:asciiTheme="minorHAnsi" w:eastAsiaTheme="minorEastAsia" w:hAnsiTheme="minorHAnsi"/>
            <w:noProof/>
            <w:kern w:val="2"/>
            <w:sz w:val="24"/>
            <w:szCs w:val="24"/>
            <w:lang w:eastAsia="en-NZ"/>
            <w14:ligatures w14:val="standardContextual"/>
          </w:rPr>
          <w:tab/>
        </w:r>
        <w:r w:rsidRPr="002F24EA">
          <w:rPr>
            <w:rStyle w:val="Hyperlink"/>
            <w:noProof/>
          </w:rPr>
          <w:t>Pathways for action</w:t>
        </w:r>
        <w:r>
          <w:rPr>
            <w:noProof/>
            <w:webHidden/>
          </w:rPr>
          <w:tab/>
        </w:r>
        <w:r>
          <w:rPr>
            <w:noProof/>
            <w:webHidden/>
          </w:rPr>
          <w:fldChar w:fldCharType="begin"/>
        </w:r>
        <w:r>
          <w:rPr>
            <w:noProof/>
            <w:webHidden/>
          </w:rPr>
          <w:instrText xml:space="preserve"> PAGEREF _Toc196208752 \h </w:instrText>
        </w:r>
        <w:r>
          <w:rPr>
            <w:noProof/>
            <w:webHidden/>
          </w:rPr>
        </w:r>
        <w:r>
          <w:rPr>
            <w:noProof/>
            <w:webHidden/>
          </w:rPr>
          <w:fldChar w:fldCharType="separate"/>
        </w:r>
        <w:r w:rsidR="00DA348C">
          <w:rPr>
            <w:noProof/>
            <w:webHidden/>
          </w:rPr>
          <w:t>28</w:t>
        </w:r>
        <w:r>
          <w:rPr>
            <w:noProof/>
            <w:webHidden/>
          </w:rPr>
          <w:fldChar w:fldCharType="end"/>
        </w:r>
      </w:hyperlink>
    </w:p>
    <w:p w14:paraId="1EC18788" w14:textId="2EC4A23A" w:rsidR="00246E71" w:rsidRDefault="00246E71">
      <w:pPr>
        <w:pStyle w:val="TOC2"/>
        <w:tabs>
          <w:tab w:val="left" w:pos="720"/>
        </w:tabs>
        <w:rPr>
          <w:rFonts w:eastAsiaTheme="minorEastAsia"/>
          <w:noProof/>
          <w:kern w:val="2"/>
          <w:sz w:val="24"/>
          <w:szCs w:val="24"/>
          <w:lang w:eastAsia="en-NZ"/>
          <w14:ligatures w14:val="standardContextual"/>
        </w:rPr>
      </w:pPr>
      <w:hyperlink w:anchor="_Toc196208753" w:history="1">
        <w:r w:rsidRPr="002F24EA">
          <w:rPr>
            <w:rStyle w:val="Hyperlink"/>
            <w:noProof/>
          </w:rPr>
          <w:t>4.1.</w:t>
        </w:r>
        <w:r>
          <w:rPr>
            <w:rFonts w:eastAsiaTheme="minorEastAsia"/>
            <w:noProof/>
            <w:kern w:val="2"/>
            <w:sz w:val="24"/>
            <w:szCs w:val="24"/>
            <w:lang w:eastAsia="en-NZ"/>
            <w14:ligatures w14:val="standardContextual"/>
          </w:rPr>
          <w:tab/>
        </w:r>
        <w:r w:rsidRPr="002F24EA">
          <w:rPr>
            <w:rStyle w:val="Hyperlink"/>
            <w:noProof/>
          </w:rPr>
          <w:t>Problem definition and policy objective</w:t>
        </w:r>
        <w:r>
          <w:rPr>
            <w:noProof/>
            <w:webHidden/>
          </w:rPr>
          <w:tab/>
        </w:r>
        <w:r>
          <w:rPr>
            <w:noProof/>
            <w:webHidden/>
          </w:rPr>
          <w:fldChar w:fldCharType="begin"/>
        </w:r>
        <w:r>
          <w:rPr>
            <w:noProof/>
            <w:webHidden/>
          </w:rPr>
          <w:instrText xml:space="preserve"> PAGEREF _Toc196208753 \h </w:instrText>
        </w:r>
        <w:r>
          <w:rPr>
            <w:noProof/>
            <w:webHidden/>
          </w:rPr>
        </w:r>
        <w:r>
          <w:rPr>
            <w:noProof/>
            <w:webHidden/>
          </w:rPr>
          <w:fldChar w:fldCharType="separate"/>
        </w:r>
        <w:r w:rsidR="00DA348C">
          <w:rPr>
            <w:noProof/>
            <w:webHidden/>
          </w:rPr>
          <w:t>29</w:t>
        </w:r>
        <w:r>
          <w:rPr>
            <w:noProof/>
            <w:webHidden/>
          </w:rPr>
          <w:fldChar w:fldCharType="end"/>
        </w:r>
      </w:hyperlink>
    </w:p>
    <w:p w14:paraId="01791FF6" w14:textId="66C10D36" w:rsidR="00246E71" w:rsidRDefault="00246E71">
      <w:pPr>
        <w:pStyle w:val="TOC2"/>
        <w:tabs>
          <w:tab w:val="left" w:pos="720"/>
        </w:tabs>
        <w:rPr>
          <w:rFonts w:eastAsiaTheme="minorEastAsia"/>
          <w:noProof/>
          <w:kern w:val="2"/>
          <w:sz w:val="24"/>
          <w:szCs w:val="24"/>
          <w:lang w:eastAsia="en-NZ"/>
          <w14:ligatures w14:val="standardContextual"/>
        </w:rPr>
      </w:pPr>
      <w:hyperlink w:anchor="_Toc196208754" w:history="1">
        <w:r w:rsidRPr="002F24EA">
          <w:rPr>
            <w:rStyle w:val="Hyperlink"/>
            <w:noProof/>
          </w:rPr>
          <w:t>4.2.</w:t>
        </w:r>
        <w:r>
          <w:rPr>
            <w:rFonts w:eastAsiaTheme="minorEastAsia"/>
            <w:noProof/>
            <w:kern w:val="2"/>
            <w:sz w:val="24"/>
            <w:szCs w:val="24"/>
            <w:lang w:eastAsia="en-NZ"/>
            <w14:ligatures w14:val="standardContextual"/>
          </w:rPr>
          <w:tab/>
        </w:r>
        <w:r w:rsidRPr="002F24EA">
          <w:rPr>
            <w:rStyle w:val="Hyperlink"/>
            <w:noProof/>
          </w:rPr>
          <w:t>Definition and features of a basic transaction account</w:t>
        </w:r>
        <w:r>
          <w:rPr>
            <w:noProof/>
            <w:webHidden/>
          </w:rPr>
          <w:tab/>
        </w:r>
        <w:r>
          <w:rPr>
            <w:noProof/>
            <w:webHidden/>
          </w:rPr>
          <w:fldChar w:fldCharType="begin"/>
        </w:r>
        <w:r>
          <w:rPr>
            <w:noProof/>
            <w:webHidden/>
          </w:rPr>
          <w:instrText xml:space="preserve"> PAGEREF _Toc196208754 \h </w:instrText>
        </w:r>
        <w:r>
          <w:rPr>
            <w:noProof/>
            <w:webHidden/>
          </w:rPr>
        </w:r>
        <w:r>
          <w:rPr>
            <w:noProof/>
            <w:webHidden/>
          </w:rPr>
          <w:fldChar w:fldCharType="separate"/>
        </w:r>
        <w:r w:rsidR="00DA348C">
          <w:rPr>
            <w:noProof/>
            <w:webHidden/>
          </w:rPr>
          <w:t>30</w:t>
        </w:r>
        <w:r>
          <w:rPr>
            <w:noProof/>
            <w:webHidden/>
          </w:rPr>
          <w:fldChar w:fldCharType="end"/>
        </w:r>
      </w:hyperlink>
    </w:p>
    <w:p w14:paraId="1ECBD2A5" w14:textId="7707C104" w:rsidR="00246E71" w:rsidRDefault="00246E71">
      <w:pPr>
        <w:pStyle w:val="TOC2"/>
        <w:tabs>
          <w:tab w:val="left" w:pos="720"/>
        </w:tabs>
        <w:rPr>
          <w:rFonts w:eastAsiaTheme="minorEastAsia"/>
          <w:noProof/>
          <w:kern w:val="2"/>
          <w:sz w:val="24"/>
          <w:szCs w:val="24"/>
          <w:lang w:eastAsia="en-NZ"/>
          <w14:ligatures w14:val="standardContextual"/>
        </w:rPr>
      </w:pPr>
      <w:hyperlink w:anchor="_Toc196208755" w:history="1">
        <w:r w:rsidRPr="002F24EA">
          <w:rPr>
            <w:rStyle w:val="Hyperlink"/>
            <w:noProof/>
          </w:rPr>
          <w:t>4.3.</w:t>
        </w:r>
        <w:r>
          <w:rPr>
            <w:rFonts w:eastAsiaTheme="minorEastAsia"/>
            <w:noProof/>
            <w:kern w:val="2"/>
            <w:sz w:val="24"/>
            <w:szCs w:val="24"/>
            <w:lang w:eastAsia="en-NZ"/>
            <w14:ligatures w14:val="standardContextual"/>
          </w:rPr>
          <w:tab/>
        </w:r>
        <w:r w:rsidRPr="002F24EA">
          <w:rPr>
            <w:rStyle w:val="Hyperlink"/>
            <w:noProof/>
          </w:rPr>
          <w:t>Approach to design and implement basic transaction accounts</w:t>
        </w:r>
        <w:r>
          <w:rPr>
            <w:noProof/>
            <w:webHidden/>
          </w:rPr>
          <w:tab/>
        </w:r>
        <w:r>
          <w:rPr>
            <w:noProof/>
            <w:webHidden/>
          </w:rPr>
          <w:fldChar w:fldCharType="begin"/>
        </w:r>
        <w:r>
          <w:rPr>
            <w:noProof/>
            <w:webHidden/>
          </w:rPr>
          <w:instrText xml:space="preserve"> PAGEREF _Toc196208755 \h </w:instrText>
        </w:r>
        <w:r>
          <w:rPr>
            <w:noProof/>
            <w:webHidden/>
          </w:rPr>
        </w:r>
        <w:r>
          <w:rPr>
            <w:noProof/>
            <w:webHidden/>
          </w:rPr>
          <w:fldChar w:fldCharType="separate"/>
        </w:r>
        <w:r w:rsidR="00DA348C">
          <w:rPr>
            <w:noProof/>
            <w:webHidden/>
          </w:rPr>
          <w:t>32</w:t>
        </w:r>
        <w:r>
          <w:rPr>
            <w:noProof/>
            <w:webHidden/>
          </w:rPr>
          <w:fldChar w:fldCharType="end"/>
        </w:r>
      </w:hyperlink>
    </w:p>
    <w:p w14:paraId="0C5CD937" w14:textId="1E18C28B" w:rsidR="00246E71" w:rsidRDefault="00246E71">
      <w:pPr>
        <w:pStyle w:val="TOC1"/>
        <w:tabs>
          <w:tab w:val="left" w:pos="440"/>
        </w:tabs>
        <w:rPr>
          <w:rFonts w:asciiTheme="minorHAnsi" w:eastAsiaTheme="minorEastAsia" w:hAnsiTheme="minorHAnsi"/>
          <w:noProof/>
          <w:kern w:val="2"/>
          <w:sz w:val="24"/>
          <w:szCs w:val="24"/>
          <w:lang w:eastAsia="en-NZ"/>
          <w14:ligatures w14:val="standardContextual"/>
        </w:rPr>
      </w:pPr>
      <w:hyperlink w:anchor="_Toc196208756" w:history="1">
        <w:r w:rsidRPr="002F24EA">
          <w:rPr>
            <w:rStyle w:val="Hyperlink"/>
            <w:noProof/>
          </w:rPr>
          <w:t>5.</w:t>
        </w:r>
        <w:r>
          <w:rPr>
            <w:rFonts w:asciiTheme="minorHAnsi" w:eastAsiaTheme="minorEastAsia" w:hAnsiTheme="minorHAnsi"/>
            <w:noProof/>
            <w:kern w:val="2"/>
            <w:sz w:val="24"/>
            <w:szCs w:val="24"/>
            <w:lang w:eastAsia="en-NZ"/>
            <w14:ligatures w14:val="standardContextual"/>
          </w:rPr>
          <w:tab/>
        </w:r>
        <w:r w:rsidRPr="002F24EA">
          <w:rPr>
            <w:rStyle w:val="Hyperlink"/>
            <w:noProof/>
          </w:rPr>
          <w:t>Conclusions and next steps</w:t>
        </w:r>
        <w:r>
          <w:rPr>
            <w:noProof/>
            <w:webHidden/>
          </w:rPr>
          <w:tab/>
        </w:r>
        <w:r>
          <w:rPr>
            <w:noProof/>
            <w:webHidden/>
          </w:rPr>
          <w:fldChar w:fldCharType="begin"/>
        </w:r>
        <w:r>
          <w:rPr>
            <w:noProof/>
            <w:webHidden/>
          </w:rPr>
          <w:instrText xml:space="preserve"> PAGEREF _Toc196208756 \h </w:instrText>
        </w:r>
        <w:r>
          <w:rPr>
            <w:noProof/>
            <w:webHidden/>
          </w:rPr>
        </w:r>
        <w:r>
          <w:rPr>
            <w:noProof/>
            <w:webHidden/>
          </w:rPr>
          <w:fldChar w:fldCharType="separate"/>
        </w:r>
        <w:r w:rsidR="00DA348C">
          <w:rPr>
            <w:noProof/>
            <w:webHidden/>
          </w:rPr>
          <w:t>35</w:t>
        </w:r>
        <w:r>
          <w:rPr>
            <w:noProof/>
            <w:webHidden/>
          </w:rPr>
          <w:fldChar w:fldCharType="end"/>
        </w:r>
      </w:hyperlink>
    </w:p>
    <w:p w14:paraId="6105C6B7" w14:textId="1A2DDB70" w:rsidR="00246E71" w:rsidRDefault="00246E71">
      <w:pPr>
        <w:pStyle w:val="TOC2"/>
        <w:tabs>
          <w:tab w:val="left" w:pos="720"/>
        </w:tabs>
        <w:rPr>
          <w:rFonts w:eastAsiaTheme="minorEastAsia"/>
          <w:noProof/>
          <w:kern w:val="2"/>
          <w:sz w:val="24"/>
          <w:szCs w:val="24"/>
          <w:lang w:eastAsia="en-NZ"/>
          <w14:ligatures w14:val="standardContextual"/>
        </w:rPr>
      </w:pPr>
      <w:hyperlink w:anchor="_Toc196208757" w:history="1">
        <w:r w:rsidRPr="002F24EA">
          <w:rPr>
            <w:rStyle w:val="Hyperlink"/>
            <w:noProof/>
          </w:rPr>
          <w:t>5.1.</w:t>
        </w:r>
        <w:r>
          <w:rPr>
            <w:rFonts w:eastAsiaTheme="minorEastAsia"/>
            <w:noProof/>
            <w:kern w:val="2"/>
            <w:sz w:val="24"/>
            <w:szCs w:val="24"/>
            <w:lang w:eastAsia="en-NZ"/>
            <w14:ligatures w14:val="standardContextual"/>
          </w:rPr>
          <w:tab/>
        </w:r>
        <w:r w:rsidRPr="002F24EA">
          <w:rPr>
            <w:rStyle w:val="Hyperlink"/>
            <w:noProof/>
          </w:rPr>
          <w:t>Monitoring access to transaction accounts</w:t>
        </w:r>
        <w:r>
          <w:rPr>
            <w:noProof/>
            <w:webHidden/>
          </w:rPr>
          <w:tab/>
        </w:r>
        <w:r>
          <w:rPr>
            <w:noProof/>
            <w:webHidden/>
          </w:rPr>
          <w:fldChar w:fldCharType="begin"/>
        </w:r>
        <w:r>
          <w:rPr>
            <w:noProof/>
            <w:webHidden/>
          </w:rPr>
          <w:instrText xml:space="preserve"> PAGEREF _Toc196208757 \h </w:instrText>
        </w:r>
        <w:r>
          <w:rPr>
            <w:noProof/>
            <w:webHidden/>
          </w:rPr>
        </w:r>
        <w:r>
          <w:rPr>
            <w:noProof/>
            <w:webHidden/>
          </w:rPr>
          <w:fldChar w:fldCharType="separate"/>
        </w:r>
        <w:r w:rsidR="00DA348C">
          <w:rPr>
            <w:noProof/>
            <w:webHidden/>
          </w:rPr>
          <w:t>35</w:t>
        </w:r>
        <w:r>
          <w:rPr>
            <w:noProof/>
            <w:webHidden/>
          </w:rPr>
          <w:fldChar w:fldCharType="end"/>
        </w:r>
      </w:hyperlink>
    </w:p>
    <w:p w14:paraId="35A557B9" w14:textId="24D5456E" w:rsidR="00246E71" w:rsidRDefault="00246E71">
      <w:pPr>
        <w:pStyle w:val="TOC2"/>
        <w:tabs>
          <w:tab w:val="left" w:pos="720"/>
        </w:tabs>
        <w:rPr>
          <w:rFonts w:eastAsiaTheme="minorEastAsia"/>
          <w:noProof/>
          <w:kern w:val="2"/>
          <w:sz w:val="24"/>
          <w:szCs w:val="24"/>
          <w:lang w:eastAsia="en-NZ"/>
          <w14:ligatures w14:val="standardContextual"/>
        </w:rPr>
      </w:pPr>
      <w:hyperlink w:anchor="_Toc196208758" w:history="1">
        <w:r w:rsidRPr="002F24EA">
          <w:rPr>
            <w:rStyle w:val="Hyperlink"/>
            <w:noProof/>
          </w:rPr>
          <w:t>5.2.</w:t>
        </w:r>
        <w:r>
          <w:rPr>
            <w:rFonts w:eastAsiaTheme="minorEastAsia"/>
            <w:noProof/>
            <w:kern w:val="2"/>
            <w:sz w:val="24"/>
            <w:szCs w:val="24"/>
            <w:lang w:eastAsia="en-NZ"/>
            <w14:ligatures w14:val="standardContextual"/>
          </w:rPr>
          <w:tab/>
        </w:r>
        <w:r w:rsidRPr="002F24EA">
          <w:rPr>
            <w:rStyle w:val="Hyperlink"/>
            <w:noProof/>
          </w:rPr>
          <w:t>Receiving public submissions</w:t>
        </w:r>
        <w:r>
          <w:rPr>
            <w:noProof/>
            <w:webHidden/>
          </w:rPr>
          <w:tab/>
        </w:r>
        <w:r>
          <w:rPr>
            <w:noProof/>
            <w:webHidden/>
          </w:rPr>
          <w:fldChar w:fldCharType="begin"/>
        </w:r>
        <w:r>
          <w:rPr>
            <w:noProof/>
            <w:webHidden/>
          </w:rPr>
          <w:instrText xml:space="preserve"> PAGEREF _Toc196208758 \h </w:instrText>
        </w:r>
        <w:r>
          <w:rPr>
            <w:noProof/>
            <w:webHidden/>
          </w:rPr>
        </w:r>
        <w:r>
          <w:rPr>
            <w:noProof/>
            <w:webHidden/>
          </w:rPr>
          <w:fldChar w:fldCharType="separate"/>
        </w:r>
        <w:r w:rsidR="00DA348C">
          <w:rPr>
            <w:noProof/>
            <w:webHidden/>
          </w:rPr>
          <w:t>35</w:t>
        </w:r>
        <w:r>
          <w:rPr>
            <w:noProof/>
            <w:webHidden/>
          </w:rPr>
          <w:fldChar w:fldCharType="end"/>
        </w:r>
      </w:hyperlink>
    </w:p>
    <w:p w14:paraId="23233252" w14:textId="25CAC6B4" w:rsidR="00246E71" w:rsidRDefault="00246E71">
      <w:pPr>
        <w:pStyle w:val="TOC1"/>
        <w:rPr>
          <w:rFonts w:asciiTheme="minorHAnsi" w:eastAsiaTheme="minorEastAsia" w:hAnsiTheme="minorHAnsi"/>
          <w:noProof/>
          <w:kern w:val="2"/>
          <w:sz w:val="24"/>
          <w:szCs w:val="24"/>
          <w:lang w:eastAsia="en-NZ"/>
          <w14:ligatures w14:val="standardContextual"/>
        </w:rPr>
      </w:pPr>
      <w:hyperlink w:anchor="_Toc196208759" w:history="1">
        <w:r w:rsidRPr="002F24EA">
          <w:rPr>
            <w:rStyle w:val="Hyperlink"/>
            <w:noProof/>
          </w:rPr>
          <w:t>Annex One: Interpretation</w:t>
        </w:r>
        <w:r>
          <w:rPr>
            <w:noProof/>
            <w:webHidden/>
          </w:rPr>
          <w:tab/>
        </w:r>
        <w:r>
          <w:rPr>
            <w:noProof/>
            <w:webHidden/>
          </w:rPr>
          <w:fldChar w:fldCharType="begin"/>
        </w:r>
        <w:r>
          <w:rPr>
            <w:noProof/>
            <w:webHidden/>
          </w:rPr>
          <w:instrText xml:space="preserve"> PAGEREF _Toc196208759 \h </w:instrText>
        </w:r>
        <w:r>
          <w:rPr>
            <w:noProof/>
            <w:webHidden/>
          </w:rPr>
        </w:r>
        <w:r>
          <w:rPr>
            <w:noProof/>
            <w:webHidden/>
          </w:rPr>
          <w:fldChar w:fldCharType="separate"/>
        </w:r>
        <w:r w:rsidR="00DA348C">
          <w:rPr>
            <w:noProof/>
            <w:webHidden/>
          </w:rPr>
          <w:t>36</w:t>
        </w:r>
        <w:r>
          <w:rPr>
            <w:noProof/>
            <w:webHidden/>
          </w:rPr>
          <w:fldChar w:fldCharType="end"/>
        </w:r>
      </w:hyperlink>
    </w:p>
    <w:p w14:paraId="184E2CAA" w14:textId="7A4E9C9B" w:rsidR="00246E71" w:rsidRDefault="00246E71">
      <w:pPr>
        <w:pStyle w:val="TOC1"/>
        <w:rPr>
          <w:rFonts w:asciiTheme="minorHAnsi" w:eastAsiaTheme="minorEastAsia" w:hAnsiTheme="minorHAnsi"/>
          <w:noProof/>
          <w:kern w:val="2"/>
          <w:sz w:val="24"/>
          <w:szCs w:val="24"/>
          <w:lang w:eastAsia="en-NZ"/>
          <w14:ligatures w14:val="standardContextual"/>
        </w:rPr>
      </w:pPr>
      <w:hyperlink w:anchor="_Toc196208760" w:history="1">
        <w:r w:rsidRPr="002F24EA">
          <w:rPr>
            <w:rStyle w:val="Hyperlink"/>
            <w:noProof/>
          </w:rPr>
          <w:t>Annex Two: Consultation Questions</w:t>
        </w:r>
        <w:r>
          <w:rPr>
            <w:noProof/>
            <w:webHidden/>
          </w:rPr>
          <w:tab/>
        </w:r>
        <w:r>
          <w:rPr>
            <w:noProof/>
            <w:webHidden/>
          </w:rPr>
          <w:fldChar w:fldCharType="begin"/>
        </w:r>
        <w:r>
          <w:rPr>
            <w:noProof/>
            <w:webHidden/>
          </w:rPr>
          <w:instrText xml:space="preserve"> PAGEREF _Toc196208760 \h </w:instrText>
        </w:r>
        <w:r>
          <w:rPr>
            <w:noProof/>
            <w:webHidden/>
          </w:rPr>
        </w:r>
        <w:r>
          <w:rPr>
            <w:noProof/>
            <w:webHidden/>
          </w:rPr>
          <w:fldChar w:fldCharType="separate"/>
        </w:r>
        <w:r w:rsidR="00DA348C">
          <w:rPr>
            <w:noProof/>
            <w:webHidden/>
          </w:rPr>
          <w:t>37</w:t>
        </w:r>
        <w:r>
          <w:rPr>
            <w:noProof/>
            <w:webHidden/>
          </w:rPr>
          <w:fldChar w:fldCharType="end"/>
        </w:r>
      </w:hyperlink>
    </w:p>
    <w:p w14:paraId="0C37F557" w14:textId="0A142411" w:rsidR="00BD107E" w:rsidRDefault="00746B3D" w:rsidP="00746B3D">
      <w:pPr>
        <w:rPr>
          <w:noProof/>
        </w:rPr>
      </w:pPr>
      <w:r>
        <w:fldChar w:fldCharType="end"/>
      </w:r>
      <w:r w:rsidR="001E04F8">
        <w:fldChar w:fldCharType="begin"/>
      </w:r>
      <w:r w:rsidR="001E04F8">
        <w:instrText xml:space="preserve"> TOC \h \z \c "Figure" </w:instrText>
      </w:r>
      <w:r w:rsidR="001E04F8">
        <w:fldChar w:fldCharType="separate"/>
      </w:r>
    </w:p>
    <w:p w14:paraId="59CBBE9B" w14:textId="77EB8C55"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47" w:history="1">
        <w:r w:rsidRPr="00E66C82">
          <w:rPr>
            <w:rStyle w:val="Hyperlink"/>
            <w:noProof/>
          </w:rPr>
          <w:t>Figure 1: Size of the unbanked adult population in NZ</w:t>
        </w:r>
        <w:r>
          <w:rPr>
            <w:noProof/>
            <w:webHidden/>
          </w:rPr>
          <w:tab/>
        </w:r>
        <w:r>
          <w:rPr>
            <w:noProof/>
            <w:webHidden/>
          </w:rPr>
          <w:fldChar w:fldCharType="begin"/>
        </w:r>
        <w:r>
          <w:rPr>
            <w:noProof/>
            <w:webHidden/>
          </w:rPr>
          <w:instrText xml:space="preserve"> PAGEREF _Toc195096947 \h </w:instrText>
        </w:r>
        <w:r>
          <w:rPr>
            <w:noProof/>
            <w:webHidden/>
          </w:rPr>
        </w:r>
        <w:r>
          <w:rPr>
            <w:noProof/>
            <w:webHidden/>
          </w:rPr>
          <w:fldChar w:fldCharType="separate"/>
        </w:r>
        <w:r w:rsidR="00DA348C">
          <w:rPr>
            <w:noProof/>
            <w:webHidden/>
          </w:rPr>
          <w:t>9</w:t>
        </w:r>
        <w:r>
          <w:rPr>
            <w:noProof/>
            <w:webHidden/>
          </w:rPr>
          <w:fldChar w:fldCharType="end"/>
        </w:r>
      </w:hyperlink>
    </w:p>
    <w:p w14:paraId="785C1C64" w14:textId="45A824B0"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48" w:history="1">
        <w:r w:rsidRPr="00E66C82">
          <w:rPr>
            <w:rStyle w:val="Hyperlink"/>
            <w:noProof/>
          </w:rPr>
          <w:t>Figure 2: Basic transaction accounts as a simplified pathway to access basic banking services</w:t>
        </w:r>
        <w:r>
          <w:rPr>
            <w:noProof/>
            <w:webHidden/>
          </w:rPr>
          <w:tab/>
        </w:r>
        <w:r>
          <w:rPr>
            <w:noProof/>
            <w:webHidden/>
          </w:rPr>
          <w:fldChar w:fldCharType="begin"/>
        </w:r>
        <w:r>
          <w:rPr>
            <w:noProof/>
            <w:webHidden/>
          </w:rPr>
          <w:instrText xml:space="preserve"> PAGEREF _Toc195096948 \h </w:instrText>
        </w:r>
        <w:r>
          <w:rPr>
            <w:noProof/>
            <w:webHidden/>
          </w:rPr>
        </w:r>
        <w:r>
          <w:rPr>
            <w:noProof/>
            <w:webHidden/>
          </w:rPr>
          <w:fldChar w:fldCharType="separate"/>
        </w:r>
        <w:r w:rsidR="00DA348C">
          <w:rPr>
            <w:noProof/>
            <w:webHidden/>
          </w:rPr>
          <w:t>18</w:t>
        </w:r>
        <w:r>
          <w:rPr>
            <w:noProof/>
            <w:webHidden/>
          </w:rPr>
          <w:fldChar w:fldCharType="end"/>
        </w:r>
      </w:hyperlink>
    </w:p>
    <w:p w14:paraId="00BA319A" w14:textId="7C9224C7"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49" w:history="1">
        <w:r w:rsidRPr="00E66C82">
          <w:rPr>
            <w:rStyle w:val="Hyperlink"/>
            <w:noProof/>
          </w:rPr>
          <w:t>Figure 3: Access to bank accounts (%) 2011-2021</w:t>
        </w:r>
        <w:r>
          <w:rPr>
            <w:noProof/>
            <w:webHidden/>
          </w:rPr>
          <w:tab/>
        </w:r>
        <w:r>
          <w:rPr>
            <w:noProof/>
            <w:webHidden/>
          </w:rPr>
          <w:fldChar w:fldCharType="begin"/>
        </w:r>
        <w:r>
          <w:rPr>
            <w:noProof/>
            <w:webHidden/>
          </w:rPr>
          <w:instrText xml:space="preserve"> PAGEREF _Toc195096949 \h </w:instrText>
        </w:r>
        <w:r>
          <w:rPr>
            <w:noProof/>
            <w:webHidden/>
          </w:rPr>
        </w:r>
        <w:r>
          <w:rPr>
            <w:noProof/>
            <w:webHidden/>
          </w:rPr>
          <w:fldChar w:fldCharType="separate"/>
        </w:r>
        <w:r w:rsidR="00DA348C">
          <w:rPr>
            <w:noProof/>
            <w:webHidden/>
          </w:rPr>
          <w:t>21</w:t>
        </w:r>
        <w:r>
          <w:rPr>
            <w:noProof/>
            <w:webHidden/>
          </w:rPr>
          <w:fldChar w:fldCharType="end"/>
        </w:r>
      </w:hyperlink>
    </w:p>
    <w:p w14:paraId="43A462E9" w14:textId="77777777" w:rsidR="00BD107E" w:rsidRDefault="001E04F8" w:rsidP="00746B3D">
      <w:pPr>
        <w:rPr>
          <w:noProof/>
        </w:rPr>
      </w:pPr>
      <w:r>
        <w:fldChar w:fldCharType="end"/>
      </w:r>
      <w:r>
        <w:fldChar w:fldCharType="begin"/>
      </w:r>
      <w:r>
        <w:instrText xml:space="preserve"> TOC \h \z \c "Table" </w:instrText>
      </w:r>
      <w:r>
        <w:fldChar w:fldCharType="separate"/>
      </w:r>
    </w:p>
    <w:p w14:paraId="14735B90" w14:textId="6399CE67"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81" w:history="1">
        <w:r w:rsidRPr="00827D18">
          <w:rPr>
            <w:rStyle w:val="Hyperlink"/>
            <w:noProof/>
          </w:rPr>
          <w:t>Table 1: International commonalities in the features of basic transaction accounts</w:t>
        </w:r>
        <w:r>
          <w:rPr>
            <w:noProof/>
            <w:webHidden/>
          </w:rPr>
          <w:tab/>
        </w:r>
        <w:r>
          <w:rPr>
            <w:noProof/>
            <w:webHidden/>
          </w:rPr>
          <w:fldChar w:fldCharType="begin"/>
        </w:r>
        <w:r>
          <w:rPr>
            <w:noProof/>
            <w:webHidden/>
          </w:rPr>
          <w:instrText xml:space="preserve"> PAGEREF _Toc195096981 \h </w:instrText>
        </w:r>
        <w:r>
          <w:rPr>
            <w:noProof/>
            <w:webHidden/>
          </w:rPr>
        </w:r>
        <w:r>
          <w:rPr>
            <w:noProof/>
            <w:webHidden/>
          </w:rPr>
          <w:fldChar w:fldCharType="separate"/>
        </w:r>
        <w:r w:rsidR="00DA348C">
          <w:rPr>
            <w:noProof/>
            <w:webHidden/>
          </w:rPr>
          <w:t>19</w:t>
        </w:r>
        <w:r>
          <w:rPr>
            <w:noProof/>
            <w:webHidden/>
          </w:rPr>
          <w:fldChar w:fldCharType="end"/>
        </w:r>
      </w:hyperlink>
    </w:p>
    <w:p w14:paraId="288C71C4" w14:textId="1CBAF9BE"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82" w:history="1">
        <w:r w:rsidRPr="00827D18">
          <w:rPr>
            <w:rStyle w:val="Hyperlink"/>
            <w:noProof/>
          </w:rPr>
          <w:t>Table 2: Case studies of regulatory approaches to basic transaction accounts</w:t>
        </w:r>
        <w:r>
          <w:rPr>
            <w:noProof/>
            <w:webHidden/>
          </w:rPr>
          <w:tab/>
        </w:r>
        <w:r>
          <w:rPr>
            <w:noProof/>
            <w:webHidden/>
          </w:rPr>
          <w:fldChar w:fldCharType="begin"/>
        </w:r>
        <w:r>
          <w:rPr>
            <w:noProof/>
            <w:webHidden/>
          </w:rPr>
          <w:instrText xml:space="preserve"> PAGEREF _Toc195096982 \h </w:instrText>
        </w:r>
        <w:r>
          <w:rPr>
            <w:noProof/>
            <w:webHidden/>
          </w:rPr>
        </w:r>
        <w:r>
          <w:rPr>
            <w:noProof/>
            <w:webHidden/>
          </w:rPr>
          <w:fldChar w:fldCharType="separate"/>
        </w:r>
        <w:r w:rsidR="00DA348C">
          <w:rPr>
            <w:noProof/>
            <w:webHidden/>
          </w:rPr>
          <w:t>21</w:t>
        </w:r>
        <w:r>
          <w:rPr>
            <w:noProof/>
            <w:webHidden/>
          </w:rPr>
          <w:fldChar w:fldCharType="end"/>
        </w:r>
      </w:hyperlink>
    </w:p>
    <w:p w14:paraId="2EF52680" w14:textId="770E4859"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83" w:history="1">
        <w:r w:rsidRPr="00827D18">
          <w:rPr>
            <w:rStyle w:val="Hyperlink"/>
            <w:noProof/>
          </w:rPr>
          <w:t>Table 3: Case studies of industry-led approaches to basic transaction accounts</w:t>
        </w:r>
        <w:r>
          <w:rPr>
            <w:noProof/>
            <w:webHidden/>
          </w:rPr>
          <w:tab/>
        </w:r>
        <w:r>
          <w:rPr>
            <w:noProof/>
            <w:webHidden/>
          </w:rPr>
          <w:fldChar w:fldCharType="begin"/>
        </w:r>
        <w:r>
          <w:rPr>
            <w:noProof/>
            <w:webHidden/>
          </w:rPr>
          <w:instrText xml:space="preserve"> PAGEREF _Toc195096983 \h </w:instrText>
        </w:r>
        <w:r>
          <w:rPr>
            <w:noProof/>
            <w:webHidden/>
          </w:rPr>
        </w:r>
        <w:r>
          <w:rPr>
            <w:noProof/>
            <w:webHidden/>
          </w:rPr>
          <w:fldChar w:fldCharType="separate"/>
        </w:r>
        <w:r w:rsidR="00DA348C">
          <w:rPr>
            <w:noProof/>
            <w:webHidden/>
          </w:rPr>
          <w:t>22</w:t>
        </w:r>
        <w:r>
          <w:rPr>
            <w:noProof/>
            <w:webHidden/>
          </w:rPr>
          <w:fldChar w:fldCharType="end"/>
        </w:r>
      </w:hyperlink>
    </w:p>
    <w:p w14:paraId="0DD2BC1E" w14:textId="1811D3E6"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84" w:history="1">
        <w:r w:rsidRPr="00827D18">
          <w:rPr>
            <w:rStyle w:val="Hyperlink"/>
            <w:noProof/>
          </w:rPr>
          <w:t>Table 4: Case studies of hybrid approach to basic transaction accounts</w:t>
        </w:r>
        <w:r>
          <w:rPr>
            <w:noProof/>
            <w:webHidden/>
          </w:rPr>
          <w:tab/>
        </w:r>
        <w:r>
          <w:rPr>
            <w:noProof/>
            <w:webHidden/>
          </w:rPr>
          <w:fldChar w:fldCharType="begin"/>
        </w:r>
        <w:r>
          <w:rPr>
            <w:noProof/>
            <w:webHidden/>
          </w:rPr>
          <w:instrText xml:space="preserve"> PAGEREF _Toc195096984 \h </w:instrText>
        </w:r>
        <w:r>
          <w:rPr>
            <w:noProof/>
            <w:webHidden/>
          </w:rPr>
        </w:r>
        <w:r>
          <w:rPr>
            <w:noProof/>
            <w:webHidden/>
          </w:rPr>
          <w:fldChar w:fldCharType="separate"/>
        </w:r>
        <w:r w:rsidR="00DA348C">
          <w:rPr>
            <w:noProof/>
            <w:webHidden/>
          </w:rPr>
          <w:t>25</w:t>
        </w:r>
        <w:r>
          <w:rPr>
            <w:noProof/>
            <w:webHidden/>
          </w:rPr>
          <w:fldChar w:fldCharType="end"/>
        </w:r>
      </w:hyperlink>
    </w:p>
    <w:p w14:paraId="6887868A" w14:textId="789A4017" w:rsidR="00BD107E" w:rsidRDefault="00BD107E">
      <w:pPr>
        <w:pStyle w:val="TableofFigures"/>
        <w:tabs>
          <w:tab w:val="right" w:leader="dot" w:pos="9060"/>
        </w:tabs>
        <w:rPr>
          <w:rFonts w:eastAsiaTheme="minorEastAsia"/>
          <w:noProof/>
          <w:kern w:val="2"/>
          <w:sz w:val="24"/>
          <w:szCs w:val="24"/>
          <w:lang w:eastAsia="en-NZ"/>
          <w14:ligatures w14:val="standardContextual"/>
        </w:rPr>
      </w:pPr>
      <w:hyperlink w:anchor="_Toc195096985" w:history="1">
        <w:r w:rsidRPr="00827D18">
          <w:rPr>
            <w:rStyle w:val="Hyperlink"/>
            <w:noProof/>
          </w:rPr>
          <w:t>Table 5: Possible high-level design features of a basic transaction account based on international practices</w:t>
        </w:r>
        <w:r>
          <w:rPr>
            <w:noProof/>
            <w:webHidden/>
          </w:rPr>
          <w:tab/>
        </w:r>
        <w:r>
          <w:rPr>
            <w:noProof/>
            <w:webHidden/>
          </w:rPr>
          <w:fldChar w:fldCharType="begin"/>
        </w:r>
        <w:r>
          <w:rPr>
            <w:noProof/>
            <w:webHidden/>
          </w:rPr>
          <w:instrText xml:space="preserve"> PAGEREF _Toc195096985 \h </w:instrText>
        </w:r>
        <w:r>
          <w:rPr>
            <w:noProof/>
            <w:webHidden/>
          </w:rPr>
        </w:r>
        <w:r>
          <w:rPr>
            <w:noProof/>
            <w:webHidden/>
          </w:rPr>
          <w:fldChar w:fldCharType="separate"/>
        </w:r>
        <w:r w:rsidR="00DA348C">
          <w:rPr>
            <w:noProof/>
            <w:webHidden/>
          </w:rPr>
          <w:t>31</w:t>
        </w:r>
        <w:r>
          <w:rPr>
            <w:noProof/>
            <w:webHidden/>
          </w:rPr>
          <w:fldChar w:fldCharType="end"/>
        </w:r>
      </w:hyperlink>
    </w:p>
    <w:p w14:paraId="0CCB509E" w14:textId="573E89E9" w:rsidR="009E7660" w:rsidRPr="001E04F8" w:rsidRDefault="001E04F8" w:rsidP="008D1FB2">
      <w:pPr>
        <w:pStyle w:val="Heading1"/>
        <w:rPr>
          <w:lang w:val="en"/>
        </w:rPr>
      </w:pPr>
      <w:r>
        <w:lastRenderedPageBreak/>
        <w:fldChar w:fldCharType="end"/>
      </w:r>
      <w:bookmarkStart w:id="1" w:name="_Toc176183073"/>
      <w:bookmarkStart w:id="2" w:name="_Toc193437679"/>
      <w:bookmarkStart w:id="3" w:name="_Toc196208737"/>
      <w:r w:rsidR="009E7660" w:rsidRPr="001E04F8">
        <w:rPr>
          <w:lang w:val="en"/>
        </w:rPr>
        <w:t>Foreword</w:t>
      </w:r>
      <w:bookmarkEnd w:id="1"/>
      <w:bookmarkEnd w:id="2"/>
      <w:bookmarkEnd w:id="3"/>
      <w:r w:rsidR="009E7660" w:rsidRPr="001E04F8">
        <w:rPr>
          <w:lang w:val="en"/>
        </w:rPr>
        <w:t xml:space="preserve"> </w:t>
      </w:r>
    </w:p>
    <w:p w14:paraId="2313DA80" w14:textId="77777777" w:rsidR="00FC14FB" w:rsidRDefault="00D27C39" w:rsidP="00954C8C">
      <w:pPr>
        <w:spacing w:after="160"/>
      </w:pPr>
      <w:r>
        <w:t>We are pleased to be releasing the first Issues Paper that we have developed jointly as part of the Council of Financial Regulators</w:t>
      </w:r>
      <w:r w:rsidR="00B601CA">
        <w:t xml:space="preserve"> (CoFR)</w:t>
      </w:r>
      <w:r>
        <w:t xml:space="preserve">, Kaunihera Kaiwhakarite Ahumoni. </w:t>
      </w:r>
    </w:p>
    <w:p w14:paraId="6EE07D89" w14:textId="1A38D71E" w:rsidR="009E7660" w:rsidRDefault="009E7660" w:rsidP="00954C8C">
      <w:pPr>
        <w:spacing w:after="160"/>
      </w:pPr>
      <w:r>
        <w:t xml:space="preserve">CoFR contributes to maximising New Zealand’s sustainable, economic wellbeing through effective and responsive regulation of the financial system. CoFR </w:t>
      </w:r>
      <w:r w:rsidR="00FC14FB">
        <w:t>helps to</w:t>
      </w:r>
      <w:r>
        <w:t xml:space="preserve"> facilitate co-operation and co-ordination between members to support </w:t>
      </w:r>
      <w:r w:rsidR="1D6DB3F2">
        <w:t>this</w:t>
      </w:r>
      <w:r>
        <w:t xml:space="preserve">. </w:t>
      </w:r>
      <w:r w:rsidR="00D27C39">
        <w:t>By working together across agencies, we are</w:t>
      </w:r>
      <w:r w:rsidR="009E7928">
        <w:t xml:space="preserve"> better positioned </w:t>
      </w:r>
      <w:r w:rsidR="00D27C39">
        <w:t xml:space="preserve">to identify and address challenges </w:t>
      </w:r>
      <w:r w:rsidR="009E7928">
        <w:t xml:space="preserve">affecting our financial system </w:t>
      </w:r>
      <w:r w:rsidR="00D27C39">
        <w:t xml:space="preserve">that </w:t>
      </w:r>
      <w:r w:rsidR="009E7928">
        <w:t xml:space="preserve">may not clearly sit within a single agency remit. </w:t>
      </w:r>
    </w:p>
    <w:p w14:paraId="353CDD31" w14:textId="2857A5CE" w:rsidR="009E7660" w:rsidRDefault="009E7660" w:rsidP="00517456">
      <w:r>
        <w:t xml:space="preserve">Financial inclusion is one of CoFR’s five priority themes, involving </w:t>
      </w:r>
      <w:r w:rsidR="007F4120">
        <w:t>collaborative</w:t>
      </w:r>
      <w:r>
        <w:t xml:space="preserve"> work to support New Zealanders’ access to useful and affordable financial products and services that meet their needs. Transaction accounts </w:t>
      </w:r>
      <w:r w:rsidR="009E7928">
        <w:t>are</w:t>
      </w:r>
      <w:r w:rsidR="00B26562">
        <w:t xml:space="preserve"> a</w:t>
      </w:r>
      <w:r w:rsidR="009E7928">
        <w:t xml:space="preserve"> vital financial product that </w:t>
      </w:r>
      <w:r>
        <w:t xml:space="preserve">can be an entry point for people into the financial system, helping them to receive money, manage their money, make payments, and </w:t>
      </w:r>
      <w:r w:rsidR="00150953">
        <w:t>store</w:t>
      </w:r>
      <w:r w:rsidR="00A80E8D">
        <w:t xml:space="preserve">/save </w:t>
      </w:r>
      <w:r w:rsidR="00150953">
        <w:t xml:space="preserve">their money for </w:t>
      </w:r>
      <w:r w:rsidR="00B4478C">
        <w:t>unforeseen circumstances or emergencies</w:t>
      </w:r>
      <w:r>
        <w:t xml:space="preserve">. During CoFR’s engagement with industry, community organisations and academics, we have heard concerns around access to transaction accounts in </w:t>
      </w:r>
      <w:r w:rsidR="004A4E2A">
        <w:t xml:space="preserve">Aotearoa </w:t>
      </w:r>
      <w:r>
        <w:t xml:space="preserve">New Zealand, prompting further work in this area. </w:t>
      </w:r>
    </w:p>
    <w:p w14:paraId="4196FE94" w14:textId="77643391" w:rsidR="00D27C39" w:rsidRDefault="4EFF20E5" w:rsidP="00954C8C">
      <w:pPr>
        <w:spacing w:after="160"/>
      </w:pPr>
      <w:r>
        <w:t>F</w:t>
      </w:r>
      <w:r w:rsidR="00E44797">
        <w:t xml:space="preserve">inancial regulators in other jurisdictions have been active in developing policy initiatives to improve access to basic transaction accounts. This </w:t>
      </w:r>
      <w:r w:rsidR="00186CB2">
        <w:t>Issues Paper</w:t>
      </w:r>
      <w:r w:rsidR="00E44797">
        <w:t xml:space="preserve"> draws on international evidence and lessons learned from over 70 jurisdictions</w:t>
      </w:r>
      <w:r w:rsidR="00032C69">
        <w:t>. W</w:t>
      </w:r>
      <w:r w:rsidR="004D1894">
        <w:t>e see that many of the</w:t>
      </w:r>
      <w:r w:rsidR="00E44797">
        <w:t xml:space="preserve"> countries that CoFR normally look to as benchmarks for best practice in financial regulation have minimum standards for the provision of basic transaction accounts. </w:t>
      </w:r>
      <w:r w:rsidR="004D1894">
        <w:t xml:space="preserve">As CoFR, we </w:t>
      </w:r>
      <w:r w:rsidR="00440058">
        <w:t>have been</w:t>
      </w:r>
      <w:r w:rsidR="004D1894">
        <w:t xml:space="preserve"> building on the lessons learned overseas and engaging with our</w:t>
      </w:r>
      <w:r w:rsidR="00440058">
        <w:t xml:space="preserve"> international</w:t>
      </w:r>
      <w:r w:rsidR="004D1894">
        <w:t xml:space="preserve"> peers to</w:t>
      </w:r>
      <w:r w:rsidR="009E7660">
        <w:t xml:space="preserve"> </w:t>
      </w:r>
      <w:r w:rsidR="6D59B5F9">
        <w:t>identify</w:t>
      </w:r>
      <w:r w:rsidR="00B3048C">
        <w:t xml:space="preserve"> </w:t>
      </w:r>
      <w:r w:rsidR="009E7660">
        <w:t xml:space="preserve">potential pathways to improve access to transaction accounts in </w:t>
      </w:r>
      <w:r w:rsidR="00B3048C">
        <w:t xml:space="preserve">Aotearoa New Zealand. </w:t>
      </w:r>
    </w:p>
    <w:p w14:paraId="53239F8B" w14:textId="78C9ABFD" w:rsidR="001404B3" w:rsidRDefault="0DCC2C0B" w:rsidP="00954C8C">
      <w:pPr>
        <w:spacing w:after="160"/>
      </w:pPr>
      <w:r>
        <w:t>We would like to support deposit takers to play an active role in the provision of basic transaction accounts that meet the needs of underserved customers, and the insights in this paper are a starting point for public engagement on this topic</w:t>
      </w:r>
      <w:r w:rsidR="133CAF33">
        <w:t xml:space="preserve">. </w:t>
      </w:r>
      <w:r w:rsidR="009E7660">
        <w:t xml:space="preserve">This </w:t>
      </w:r>
      <w:r w:rsidR="00D27C39">
        <w:t xml:space="preserve">Issues Paper </w:t>
      </w:r>
      <w:r w:rsidR="583DEB13">
        <w:t xml:space="preserve">also </w:t>
      </w:r>
      <w:r w:rsidR="009E7660">
        <w:t>serves as a</w:t>
      </w:r>
      <w:r w:rsidR="001404B3">
        <w:t xml:space="preserve">n important </w:t>
      </w:r>
      <w:r w:rsidR="009E7660">
        <w:t xml:space="preserve">step to </w:t>
      </w:r>
      <w:r w:rsidR="001404B3">
        <w:t xml:space="preserve">support </w:t>
      </w:r>
      <w:r w:rsidR="009E7660">
        <w:t xml:space="preserve">the recent </w:t>
      </w:r>
      <w:r w:rsidR="00545357">
        <w:t>Commerce Commission</w:t>
      </w:r>
      <w:r w:rsidR="009F5DC2">
        <w:t xml:space="preserve"> </w:t>
      </w:r>
      <w:r w:rsidR="004F6B9D">
        <w:t xml:space="preserve">Market </w:t>
      </w:r>
      <w:r w:rsidR="009660BC" w:rsidRPr="007C14D9">
        <w:t>Study into Personal Banking Services</w:t>
      </w:r>
      <w:r w:rsidR="009660BC" w:rsidDel="009660BC">
        <w:t xml:space="preserve"> </w:t>
      </w:r>
      <w:r w:rsidR="009E7660">
        <w:t xml:space="preserve">recommendation that industry </w:t>
      </w:r>
      <w:r w:rsidR="319826C1">
        <w:t xml:space="preserve">should </w:t>
      </w:r>
      <w:r w:rsidR="009E7660">
        <w:t>cooperate (and work closely with CoFR) to make basic bank accounts widely available</w:t>
      </w:r>
      <w:r w:rsidR="0D46EA7F">
        <w:t>.</w:t>
      </w:r>
      <w:r w:rsidR="009E7660">
        <w:t xml:space="preserve"> </w:t>
      </w:r>
      <w:bookmarkStart w:id="4" w:name="_Hlk195097491"/>
      <w:r w:rsidR="009E7660">
        <w:t xml:space="preserve">We are seeking input from </w:t>
      </w:r>
      <w:r w:rsidR="00147E56">
        <w:t>financial providers</w:t>
      </w:r>
      <w:r w:rsidR="00623DDD">
        <w:t xml:space="preserve"> and people</w:t>
      </w:r>
      <w:r w:rsidR="009C0987">
        <w:t xml:space="preserve"> or groups affected by this issue on</w:t>
      </w:r>
      <w:r w:rsidR="009E7660">
        <w:t xml:space="preserve"> the problems identified, and the </w:t>
      </w:r>
      <w:r w:rsidR="5C23A35E">
        <w:t>opportunities</w:t>
      </w:r>
      <w:r w:rsidR="009E7660">
        <w:t xml:space="preserve"> to improve access to basic transaction accounts</w:t>
      </w:r>
      <w:bookmarkEnd w:id="4"/>
      <w:r w:rsidR="009E7660">
        <w:t>. Our aspiration is a financial system that</w:t>
      </w:r>
      <w:r w:rsidR="00475913">
        <w:t xml:space="preserve"> supports efficiency, inclusion, prosperity and wellbeing</w:t>
      </w:r>
      <w:r w:rsidR="009E7660">
        <w:t>,</w:t>
      </w:r>
      <w:r w:rsidR="009E7660" w:rsidRPr="000A0A34">
        <w:t xml:space="preserve"> </w:t>
      </w:r>
      <w:r w:rsidR="009E7660">
        <w:t xml:space="preserve">and we look forward to further engagement with key stakeholders on this important topic. </w:t>
      </w:r>
    </w:p>
    <w:p w14:paraId="78E4AE53" w14:textId="77777777" w:rsidR="00BA7262" w:rsidRDefault="00BA7262" w:rsidP="00954C8C">
      <w:pPr>
        <w:spacing w:after="160"/>
      </w:pPr>
    </w:p>
    <w:tbl>
      <w:tblPr>
        <w:tblStyle w:val="CoFR"/>
        <w:tblW w:w="9474" w:type="dxa"/>
        <w:tblInd w:w="-142" w:type="dxa"/>
        <w:tblBorders>
          <w:bottom w:val="none" w:sz="0" w:space="0" w:color="auto"/>
          <w:insideH w:val="none" w:sz="0" w:space="0" w:color="auto"/>
        </w:tblBorders>
        <w:tblLook w:val="0200" w:firstRow="0" w:lastRow="0" w:firstColumn="0" w:lastColumn="0" w:noHBand="1" w:noVBand="0"/>
      </w:tblPr>
      <w:tblGrid>
        <w:gridCol w:w="4813"/>
        <w:gridCol w:w="4661"/>
      </w:tblGrid>
      <w:tr w:rsidR="009E7660" w14:paraId="4A8C0039" w14:textId="77777777" w:rsidTr="00BA7262">
        <w:trPr>
          <w:trHeight w:val="533"/>
        </w:trPr>
        <w:tc>
          <w:tcPr>
            <w:tcW w:w="4813" w:type="dxa"/>
            <w:shd w:val="clear" w:color="auto" w:fill="auto"/>
          </w:tcPr>
          <w:p w14:paraId="76425EDA" w14:textId="77777777" w:rsidR="009E7660" w:rsidRPr="001F301A" w:rsidRDefault="009E7660" w:rsidP="000D4362">
            <w:pPr>
              <w:spacing w:before="0" w:after="0"/>
              <w:rPr>
                <w:b/>
                <w:bCs/>
                <w:i/>
                <w:iCs/>
                <w:sz w:val="22"/>
                <w:szCs w:val="24"/>
              </w:rPr>
            </w:pPr>
            <w:r w:rsidRPr="001F301A">
              <w:rPr>
                <w:b/>
                <w:bCs/>
                <w:i/>
                <w:iCs/>
                <w:sz w:val="22"/>
                <w:szCs w:val="24"/>
              </w:rPr>
              <w:t>Samantha Barrass</w:t>
            </w:r>
          </w:p>
          <w:p w14:paraId="1BC912B1" w14:textId="4E712192" w:rsidR="001404B3" w:rsidRPr="001F301A" w:rsidRDefault="009E7660" w:rsidP="001F301A">
            <w:pPr>
              <w:spacing w:before="0" w:after="0"/>
              <w:rPr>
                <w:rFonts w:cstheme="minorHAnsi"/>
                <w:i/>
                <w:iCs/>
                <w:sz w:val="22"/>
                <w:szCs w:val="24"/>
              </w:rPr>
            </w:pPr>
            <w:r w:rsidRPr="001F301A">
              <w:rPr>
                <w:i/>
                <w:iCs/>
                <w:sz w:val="22"/>
                <w:szCs w:val="24"/>
              </w:rPr>
              <w:t>Te Mana Whakahaere / Chief Executive</w:t>
            </w:r>
            <w:r w:rsidR="001F301A" w:rsidRPr="001F301A">
              <w:rPr>
                <w:i/>
                <w:iCs/>
                <w:sz w:val="22"/>
                <w:szCs w:val="24"/>
              </w:rPr>
              <w:t xml:space="preserve">, </w:t>
            </w:r>
            <w:r w:rsidR="001404B3" w:rsidRPr="001F301A">
              <w:rPr>
                <w:rFonts w:cstheme="minorHAnsi"/>
                <w:i/>
                <w:iCs/>
                <w:sz w:val="22"/>
                <w:szCs w:val="24"/>
              </w:rPr>
              <w:t>Financial Markets Authority, Te Mana Tātai Hokohoko</w:t>
            </w:r>
            <w:r w:rsidR="001F301A" w:rsidRPr="001F301A">
              <w:rPr>
                <w:rFonts w:cstheme="minorHAnsi"/>
                <w:i/>
                <w:iCs/>
                <w:sz w:val="22"/>
                <w:szCs w:val="24"/>
              </w:rPr>
              <w:t xml:space="preserve">, </w:t>
            </w:r>
          </w:p>
          <w:p w14:paraId="6B3DD8BD" w14:textId="11181FDD" w:rsidR="001404B3" w:rsidRPr="001F301A" w:rsidRDefault="001404B3" w:rsidP="001F301A">
            <w:pPr>
              <w:spacing w:before="144" w:after="144"/>
              <w:rPr>
                <w:rFonts w:cstheme="minorHAnsi"/>
                <w:sz w:val="22"/>
                <w:szCs w:val="24"/>
              </w:rPr>
            </w:pPr>
            <w:r w:rsidRPr="001F301A">
              <w:rPr>
                <w:rFonts w:cstheme="minorHAnsi"/>
                <w:i/>
                <w:iCs/>
                <w:sz w:val="22"/>
                <w:szCs w:val="24"/>
              </w:rPr>
              <w:t>Co-chair, Council of Financial Regulators</w:t>
            </w:r>
            <w:r w:rsidRPr="001F301A">
              <w:rPr>
                <w:i/>
                <w:iCs/>
                <w:sz w:val="22"/>
                <w:szCs w:val="24"/>
              </w:rPr>
              <w:t>, Kaunihera Kaiwhakarite Ahumoni</w:t>
            </w:r>
          </w:p>
        </w:tc>
        <w:tc>
          <w:tcPr>
            <w:tcW w:w="4661" w:type="dxa"/>
            <w:shd w:val="clear" w:color="auto" w:fill="auto"/>
          </w:tcPr>
          <w:p w14:paraId="3EB0BB21" w14:textId="33D1ED0C" w:rsidR="009E7660" w:rsidRPr="001F301A" w:rsidRDefault="00C16089" w:rsidP="000D4362">
            <w:pPr>
              <w:spacing w:before="0" w:after="0"/>
              <w:rPr>
                <w:b/>
                <w:bCs/>
                <w:i/>
                <w:iCs/>
                <w:sz w:val="22"/>
                <w:szCs w:val="24"/>
              </w:rPr>
            </w:pPr>
            <w:r w:rsidRPr="001F301A">
              <w:rPr>
                <w:b/>
                <w:bCs/>
                <w:i/>
                <w:iCs/>
                <w:sz w:val="22"/>
                <w:szCs w:val="24"/>
              </w:rPr>
              <w:t>Christian Hawk</w:t>
            </w:r>
            <w:r w:rsidR="001404B3" w:rsidRPr="001F301A">
              <w:rPr>
                <w:b/>
                <w:bCs/>
                <w:i/>
                <w:iCs/>
                <w:sz w:val="22"/>
                <w:szCs w:val="24"/>
              </w:rPr>
              <w:t>e</w:t>
            </w:r>
            <w:r w:rsidRPr="001F301A">
              <w:rPr>
                <w:b/>
                <w:bCs/>
                <w:i/>
                <w:iCs/>
                <w:sz w:val="22"/>
                <w:szCs w:val="24"/>
              </w:rPr>
              <w:t xml:space="preserve">sby </w:t>
            </w:r>
          </w:p>
          <w:p w14:paraId="7A1CF8AC" w14:textId="37BF693A" w:rsidR="001404B3" w:rsidRPr="001F301A" w:rsidRDefault="009E7660" w:rsidP="001F301A">
            <w:pPr>
              <w:spacing w:before="0" w:after="0"/>
              <w:rPr>
                <w:rFonts w:cstheme="minorHAnsi"/>
                <w:i/>
                <w:iCs/>
                <w:sz w:val="22"/>
                <w:szCs w:val="24"/>
              </w:rPr>
            </w:pPr>
            <w:r w:rsidRPr="001F301A">
              <w:rPr>
                <w:i/>
                <w:iCs/>
                <w:sz w:val="22"/>
                <w:szCs w:val="24"/>
              </w:rPr>
              <w:t>Governor</w:t>
            </w:r>
            <w:r w:rsidR="001F301A" w:rsidRPr="001F301A">
              <w:rPr>
                <w:i/>
                <w:iCs/>
                <w:sz w:val="22"/>
                <w:szCs w:val="24"/>
              </w:rPr>
              <w:t xml:space="preserve">, </w:t>
            </w:r>
            <w:r w:rsidR="001404B3" w:rsidRPr="001F301A">
              <w:rPr>
                <w:rFonts w:cstheme="minorHAnsi"/>
                <w:i/>
                <w:iCs/>
                <w:sz w:val="22"/>
                <w:szCs w:val="24"/>
              </w:rPr>
              <w:t>Reserve Bank of New Zealand, Te Pūtea Matua</w:t>
            </w:r>
          </w:p>
          <w:p w14:paraId="06A22900" w14:textId="106AE805" w:rsidR="001404B3" w:rsidRPr="001F301A" w:rsidRDefault="001404B3" w:rsidP="001404B3">
            <w:pPr>
              <w:spacing w:before="144" w:after="144"/>
              <w:rPr>
                <w:rFonts w:cstheme="minorHAnsi"/>
                <w:i/>
                <w:iCs/>
                <w:sz w:val="22"/>
                <w:szCs w:val="24"/>
              </w:rPr>
            </w:pPr>
            <w:r w:rsidRPr="001F301A">
              <w:rPr>
                <w:rFonts w:cstheme="minorHAnsi"/>
                <w:i/>
                <w:iCs/>
                <w:sz w:val="22"/>
                <w:szCs w:val="24"/>
              </w:rPr>
              <w:t>Co-chair, Council of Financial Regulators, Kaunihera Kaiwhakarite Ahumoni</w:t>
            </w:r>
          </w:p>
          <w:p w14:paraId="1D07AD31" w14:textId="3DE92234" w:rsidR="001404B3" w:rsidRPr="001F301A" w:rsidRDefault="001404B3" w:rsidP="000D4362">
            <w:pPr>
              <w:spacing w:before="0" w:after="0"/>
              <w:rPr>
                <w:sz w:val="22"/>
                <w:szCs w:val="24"/>
              </w:rPr>
            </w:pPr>
          </w:p>
        </w:tc>
      </w:tr>
    </w:tbl>
    <w:p w14:paraId="455C10D7" w14:textId="221F951C" w:rsidR="00492EA7" w:rsidRPr="007C14D9" w:rsidRDefault="00492EA7" w:rsidP="00051F65">
      <w:pPr>
        <w:pStyle w:val="Heading1"/>
      </w:pPr>
      <w:bookmarkStart w:id="5" w:name="_Toc193437680"/>
      <w:bookmarkStart w:id="6" w:name="_Toc196208738"/>
      <w:r w:rsidRPr="007C14D9">
        <w:rPr>
          <w:lang w:val="en"/>
        </w:rPr>
        <w:lastRenderedPageBreak/>
        <w:t>Executive</w:t>
      </w:r>
      <w:r w:rsidRPr="007C14D9">
        <w:t xml:space="preserve"> Summary</w:t>
      </w:r>
      <w:bookmarkEnd w:id="5"/>
      <w:bookmarkEnd w:id="6"/>
    </w:p>
    <w:p w14:paraId="77FEF26D" w14:textId="2042FE75" w:rsidR="00492EA7" w:rsidRPr="007C14D9" w:rsidRDefault="0566B448" w:rsidP="00954C8C">
      <w:r>
        <w:t>Improving a</w:t>
      </w:r>
      <w:r w:rsidR="7AC48DA5" w:rsidRPr="007C14D9">
        <w:t xml:space="preserve">ccess to </w:t>
      </w:r>
      <w:r w:rsidR="4EF959C5">
        <w:t>financial products and services</w:t>
      </w:r>
      <w:r w:rsidR="1761EA24">
        <w:t xml:space="preserve"> that meet </w:t>
      </w:r>
      <w:r w:rsidR="00740F08">
        <w:t xml:space="preserve">the needs of </w:t>
      </w:r>
      <w:r w:rsidR="00CC008F">
        <w:t xml:space="preserve">consumer and firms </w:t>
      </w:r>
      <w:r w:rsidR="00492EA7" w:rsidRPr="007C14D9">
        <w:t xml:space="preserve">is a priority for the Council of Financial Regulators Financial Inclusion Community of Practice (CoFR FI; we, us, our). This Issues Paper explores the concept of basic </w:t>
      </w:r>
      <w:r w:rsidR="6B3A02C7">
        <w:t xml:space="preserve">bank accounts, or basic </w:t>
      </w:r>
      <w:r w:rsidR="00492EA7" w:rsidRPr="007C14D9">
        <w:t>transaction accounts</w:t>
      </w:r>
      <w:r w:rsidR="00DE54F4" w:rsidRPr="007C14D9">
        <w:rPr>
          <w:rStyle w:val="FootnoteReference"/>
        </w:rPr>
        <w:footnoteReference w:id="2"/>
      </w:r>
      <w:r w:rsidR="00492EA7" w:rsidRPr="007C14D9">
        <w:t xml:space="preserve"> as a potential policy </w:t>
      </w:r>
      <w:r w:rsidR="63F328DE">
        <w:t>tool</w:t>
      </w:r>
      <w:r w:rsidR="00492EA7" w:rsidRPr="007C14D9">
        <w:t xml:space="preserve"> to </w:t>
      </w:r>
      <w:r w:rsidR="63F328DE">
        <w:t xml:space="preserve">promote </w:t>
      </w:r>
      <w:r w:rsidR="00492EA7">
        <w:t>financial inclusion</w:t>
      </w:r>
      <w:r w:rsidR="00492EA7" w:rsidRPr="007C14D9">
        <w:t xml:space="preserve">, </w:t>
      </w:r>
      <w:r w:rsidR="63F328DE">
        <w:t>aligning</w:t>
      </w:r>
      <w:r w:rsidR="00492EA7" w:rsidRPr="007C14D9">
        <w:t xml:space="preserve"> with Recommendation 14 from the Commerce Commission Market Study into Personal Banking Services. </w:t>
      </w:r>
    </w:p>
    <w:p w14:paraId="0AA73623" w14:textId="77777777" w:rsidR="00492EA7" w:rsidRPr="00207111" w:rsidRDefault="00492EA7" w:rsidP="00207111">
      <w:pPr>
        <w:rPr>
          <w:rFonts w:ascii="Segoe UI Semilight" w:hAnsi="Segoe UI Semilight" w:cs="Segoe UI Semilight"/>
          <w:b/>
          <w:color w:val="6B2A7F" w:themeColor="accent1"/>
          <w:sz w:val="26"/>
          <w:szCs w:val="26"/>
        </w:rPr>
      </w:pPr>
      <w:r w:rsidRPr="00207111">
        <w:rPr>
          <w:rFonts w:ascii="Segoe UI Semilight" w:hAnsi="Segoe UI Semilight" w:cs="Segoe UI Semilight"/>
          <w:b/>
          <w:color w:val="6B2A7F" w:themeColor="accent1"/>
          <w:sz w:val="26"/>
          <w:szCs w:val="26"/>
        </w:rPr>
        <w:t>Transaction accounts are vital, but some New Zealanders struggle to access them</w:t>
      </w:r>
    </w:p>
    <w:p w14:paraId="4BD49DFA" w14:textId="147E46A9" w:rsidR="00492EA7" w:rsidRPr="007C14D9" w:rsidRDefault="00492EA7" w:rsidP="00954C8C">
      <w:r w:rsidRPr="007C14D9">
        <w:t xml:space="preserve">Transaction accounts </w:t>
      </w:r>
      <w:r>
        <w:t>enable</w:t>
      </w:r>
      <w:r w:rsidRPr="007C14D9">
        <w:t xml:space="preserve"> individuals</w:t>
      </w:r>
      <w:r>
        <w:t xml:space="preserve"> and </w:t>
      </w:r>
      <w:r w:rsidR="47F3A51E">
        <w:t>firms</w:t>
      </w:r>
      <w:r w:rsidRPr="007C14D9">
        <w:t xml:space="preserve"> </w:t>
      </w:r>
      <w:r>
        <w:t>to gain</w:t>
      </w:r>
      <w:r w:rsidRPr="007C14D9">
        <w:t xml:space="preserve"> access to the formal financial sector, facilitating everyday banking activities like cash deposits, payments, and withdrawals. Transaction accounts serve as a first step toward greater financial inclusion, paving the way for access to additional services such as credit, savings, and</w:t>
      </w:r>
      <w:r w:rsidR="00B41687">
        <w:t xml:space="preserve"> i</w:t>
      </w:r>
      <w:r w:rsidRPr="007C14D9">
        <w:t>nsurance products</w:t>
      </w:r>
      <w:bookmarkStart w:id="7" w:name="_Hlk178799068"/>
      <w:r w:rsidR="00E5343B">
        <w:t>. Research conducted by CoFR members and stakeholders, including deposit takers</w:t>
      </w:r>
      <w:r w:rsidR="00E5343B">
        <w:rPr>
          <w:rStyle w:val="FootnoteReference"/>
          <w:color w:val="000000" w:themeColor="text1"/>
        </w:rPr>
        <w:footnoteReference w:id="3"/>
      </w:r>
      <w:r w:rsidR="00E5343B">
        <w:t>, academics</w:t>
      </w:r>
      <w:r w:rsidR="00E5343B">
        <w:rPr>
          <w:rStyle w:val="FootnoteReference"/>
          <w:color w:val="000000" w:themeColor="text1"/>
        </w:rPr>
        <w:footnoteReference w:id="4"/>
      </w:r>
      <w:r w:rsidR="00E5343B">
        <w:t>, community organisations</w:t>
      </w:r>
      <w:r w:rsidR="00E5343B">
        <w:rPr>
          <w:rStyle w:val="FootnoteReference"/>
          <w:color w:val="000000" w:themeColor="text1"/>
        </w:rPr>
        <w:footnoteReference w:id="5"/>
      </w:r>
      <w:r w:rsidR="00E5343B">
        <w:t>, and the recent Commerce Commission Market Study into Personal Banking Services (Market Study)</w:t>
      </w:r>
      <w:r w:rsidR="00E5343B" w:rsidRPr="000F065B">
        <w:rPr>
          <w:rStyle w:val="FootnoteReference"/>
          <w:color w:val="000000" w:themeColor="text1"/>
        </w:rPr>
        <w:footnoteReference w:id="6"/>
      </w:r>
      <w:r w:rsidR="00E5343B">
        <w:t xml:space="preserve"> ha</w:t>
      </w:r>
      <w:r w:rsidR="00FA3012">
        <w:t>s</w:t>
      </w:r>
      <w:r w:rsidR="00E5343B">
        <w:t xml:space="preserve"> highlighted that it can be difficult for some customers to open transaction accounts. </w:t>
      </w:r>
      <w:r w:rsidRPr="007C33B4">
        <w:t>The World Bank estimates that there are around 50,000 (1.</w:t>
      </w:r>
      <w:r w:rsidR="47F3A51E">
        <w:t>3</w:t>
      </w:r>
      <w:r w:rsidRPr="007C33B4">
        <w:t>%) unbanked New Zealanders which is an increase from 0.</w:t>
      </w:r>
      <w:r w:rsidR="47F3A51E">
        <w:t>8</w:t>
      </w:r>
      <w:r w:rsidRPr="007C33B4">
        <w:t>% in 2017 and 0.</w:t>
      </w:r>
      <w:r w:rsidR="47F3A51E">
        <w:t>5</w:t>
      </w:r>
      <w:r w:rsidRPr="007C33B4">
        <w:t>% in 2014.</w:t>
      </w:r>
      <w:r w:rsidRPr="007C33B4">
        <w:rPr>
          <w:rStyle w:val="FootnoteReference"/>
        </w:rPr>
        <w:footnoteReference w:id="7"/>
      </w:r>
      <w:bookmarkEnd w:id="7"/>
      <w:r w:rsidRPr="007C33B4">
        <w:t xml:space="preserve"> </w:t>
      </w:r>
      <w:r w:rsidR="00475913" w:rsidRPr="007C33B4">
        <w:t xml:space="preserve">In addition, the </w:t>
      </w:r>
      <w:r w:rsidR="00196709">
        <w:t xml:space="preserve">2024 </w:t>
      </w:r>
      <w:r w:rsidR="00475913" w:rsidRPr="007C33B4">
        <w:t xml:space="preserve">FMA Consumer </w:t>
      </w:r>
      <w:r w:rsidR="4249886D">
        <w:t xml:space="preserve">Confidence Survey </w:t>
      </w:r>
      <w:r w:rsidR="00475913" w:rsidRPr="007C33B4">
        <w:t xml:space="preserve">found that approximately </w:t>
      </w:r>
      <w:r w:rsidR="000C5BAC" w:rsidRPr="007C33B4">
        <w:t>3</w:t>
      </w:r>
      <w:r w:rsidR="47F3A51E">
        <w:t>.</w:t>
      </w:r>
      <w:r w:rsidR="003411DB">
        <w:t>3</w:t>
      </w:r>
      <w:r w:rsidR="00475913" w:rsidRPr="007C33B4">
        <w:t>% of adults in</w:t>
      </w:r>
      <w:r w:rsidR="004A4E2A">
        <w:t xml:space="preserve"> Aotearoa</w:t>
      </w:r>
      <w:r w:rsidR="00475913" w:rsidRPr="007C33B4">
        <w:t xml:space="preserve"> New Zealand (18 and over) d</w:t>
      </w:r>
      <w:r w:rsidR="000C5BAC" w:rsidRPr="007C33B4">
        <w:t>id</w:t>
      </w:r>
      <w:r w:rsidR="00475913" w:rsidRPr="007C33B4">
        <w:t xml:space="preserve"> not have</w:t>
      </w:r>
      <w:r w:rsidR="000C5BAC" w:rsidRPr="007C33B4">
        <w:t xml:space="preserve"> at least one type of deposit account</w:t>
      </w:r>
      <w:r w:rsidR="00475913" w:rsidRPr="007C33B4">
        <w:t>.</w:t>
      </w:r>
      <w:r w:rsidR="00475913" w:rsidRPr="007C33B4">
        <w:rPr>
          <w:rStyle w:val="FootnoteReference"/>
        </w:rPr>
        <w:footnoteReference w:id="8"/>
      </w:r>
      <w:r w:rsidR="00475913" w:rsidRPr="007C33B4">
        <w:t xml:space="preserve"> </w:t>
      </w:r>
      <w:r w:rsidR="009A1254" w:rsidRPr="007C33B4">
        <w:t>RBNZ has</w:t>
      </w:r>
      <w:r w:rsidRPr="007C33B4">
        <w:t xml:space="preserve"> also commissioned research from ThinkPlace NZ, a social research agency, to better understand the scale of issue</w:t>
      </w:r>
      <w:r w:rsidR="00695276">
        <w:t>s associated with</w:t>
      </w:r>
      <w:r w:rsidRPr="007C33B4">
        <w:t xml:space="preserve"> access to banking, </w:t>
      </w:r>
      <w:r w:rsidR="00695276" w:rsidRPr="007C33B4">
        <w:t>the underlying drivers of the</w:t>
      </w:r>
      <w:r w:rsidR="00695276">
        <w:t>se</w:t>
      </w:r>
      <w:r w:rsidR="00695276" w:rsidRPr="007C33B4">
        <w:t xml:space="preserve"> issue</w:t>
      </w:r>
      <w:r w:rsidR="00695276">
        <w:t xml:space="preserve">s, and </w:t>
      </w:r>
      <w:r w:rsidRPr="007C33B4">
        <w:t>impacted customer segments.</w:t>
      </w:r>
      <w:r w:rsidRPr="007C33B4">
        <w:rPr>
          <w:rStyle w:val="FootnoteReference"/>
        </w:rPr>
        <w:footnoteReference w:id="9"/>
      </w:r>
      <w:r w:rsidRPr="007C14D9">
        <w:t xml:space="preserve"> </w:t>
      </w:r>
    </w:p>
    <w:p w14:paraId="36BD61AD" w14:textId="3014446B" w:rsidR="00492EA7" w:rsidRPr="00207111" w:rsidRDefault="00492EA7" w:rsidP="00207111">
      <w:pPr>
        <w:rPr>
          <w:rFonts w:ascii="Segoe UI Semilight" w:hAnsi="Segoe UI Semilight" w:cs="Segoe UI Semilight"/>
          <w:b/>
          <w:color w:val="6B2A7F" w:themeColor="accent1"/>
          <w:sz w:val="26"/>
          <w:szCs w:val="26"/>
        </w:rPr>
      </w:pPr>
      <w:bookmarkStart w:id="8" w:name="_Hlk173870890"/>
      <w:r w:rsidRPr="753923B8">
        <w:rPr>
          <w:rFonts w:ascii="Segoe UI Semilight" w:hAnsi="Segoe UI Semilight" w:cs="Segoe UI Semilight"/>
          <w:b/>
          <w:color w:val="6B2A7F" w:themeColor="accent5"/>
          <w:sz w:val="26"/>
          <w:szCs w:val="26"/>
        </w:rPr>
        <w:t xml:space="preserve">We have outlined </w:t>
      </w:r>
      <w:r w:rsidR="645150F0" w:rsidRPr="753923B8">
        <w:rPr>
          <w:rFonts w:ascii="Segoe UI Semilight" w:hAnsi="Segoe UI Semilight" w:cs="Segoe UI Semilight"/>
          <w:b/>
          <w:bCs/>
          <w:color w:val="6B2A7F" w:themeColor="accent5"/>
          <w:sz w:val="26"/>
          <w:szCs w:val="26"/>
        </w:rPr>
        <w:t xml:space="preserve">the </w:t>
      </w:r>
      <w:r w:rsidR="00B41687" w:rsidRPr="753923B8">
        <w:rPr>
          <w:rFonts w:ascii="Segoe UI Semilight" w:hAnsi="Segoe UI Semilight" w:cs="Segoe UI Semilight"/>
          <w:b/>
          <w:color w:val="6B2A7F" w:themeColor="accent5"/>
          <w:sz w:val="26"/>
          <w:szCs w:val="26"/>
        </w:rPr>
        <w:t>problem definition</w:t>
      </w:r>
      <w:r w:rsidRPr="753923B8">
        <w:rPr>
          <w:rFonts w:ascii="Segoe UI Semilight" w:hAnsi="Segoe UI Semilight" w:cs="Segoe UI Semilight"/>
          <w:b/>
          <w:color w:val="6B2A7F" w:themeColor="accent5"/>
          <w:sz w:val="26"/>
          <w:szCs w:val="26"/>
        </w:rPr>
        <w:t xml:space="preserve"> and objectives  </w:t>
      </w:r>
    </w:p>
    <w:p w14:paraId="379A6F90" w14:textId="6C2713AC" w:rsidR="00A9308C" w:rsidRDefault="00492EA7" w:rsidP="00051F65">
      <w:bookmarkStart w:id="9" w:name="_Hlk180654348"/>
      <w:r w:rsidRPr="007C14D9">
        <w:t>We have assessed the current state of access to transaction accounts</w:t>
      </w:r>
      <w:r w:rsidR="7538BA2D">
        <w:t xml:space="preserve"> and recognise</w:t>
      </w:r>
      <w:r w:rsidRPr="007C14D9" w:rsidDel="002D1273">
        <w:t xml:space="preserve"> </w:t>
      </w:r>
      <w:r w:rsidRPr="007C14D9">
        <w:t xml:space="preserve">that </w:t>
      </w:r>
      <w:r w:rsidR="7538BA2D">
        <w:t xml:space="preserve">challenges </w:t>
      </w:r>
      <w:r w:rsidRPr="007C14D9">
        <w:t xml:space="preserve">in </w:t>
      </w:r>
      <w:r w:rsidR="7538BA2D">
        <w:t xml:space="preserve">account opening </w:t>
      </w:r>
      <w:r w:rsidRPr="007C14D9">
        <w:t>process can contribute to financial exclusion</w:t>
      </w:r>
      <w:r w:rsidR="004F1E27">
        <w:rPr>
          <w:rStyle w:val="FootnoteReference"/>
        </w:rPr>
        <w:footnoteReference w:id="10"/>
      </w:r>
      <w:r w:rsidRPr="007C14D9">
        <w:t xml:space="preserve">. </w:t>
      </w:r>
      <w:r w:rsidR="62EC1BC0">
        <w:t xml:space="preserve">A </w:t>
      </w:r>
      <w:r w:rsidR="1BBFC284">
        <w:t>key issue</w:t>
      </w:r>
      <w:r w:rsidRPr="007C14D9">
        <w:t xml:space="preserve"> is that </w:t>
      </w:r>
      <w:r>
        <w:t>some</w:t>
      </w:r>
      <w:r w:rsidRPr="007C14D9">
        <w:t xml:space="preserve"> </w:t>
      </w:r>
      <w:r w:rsidR="00BA5E84">
        <w:t>individuals</w:t>
      </w:r>
      <w:r w:rsidR="00BA5E84" w:rsidRPr="007C14D9">
        <w:t xml:space="preserve"> </w:t>
      </w:r>
      <w:r w:rsidR="720DBA64">
        <w:t>face difficulties in opening</w:t>
      </w:r>
      <w:r w:rsidRPr="007C14D9">
        <w:t xml:space="preserve"> transaction accounts under </w:t>
      </w:r>
      <w:r w:rsidR="62EC1BC0">
        <w:t>existing requirements</w:t>
      </w:r>
      <w:r w:rsidR="5F4AB63D">
        <w:t xml:space="preserve"> and practices</w:t>
      </w:r>
      <w:r w:rsidR="7AC48DA5" w:rsidRPr="007C14D9">
        <w:t xml:space="preserve">. </w:t>
      </w:r>
      <w:r w:rsidR="720DBA64">
        <w:t xml:space="preserve">The </w:t>
      </w:r>
      <w:r w:rsidR="00CC008F">
        <w:t>First Steps to Financial Inclusion Report</w:t>
      </w:r>
      <w:r w:rsidR="720DBA64">
        <w:t xml:space="preserve"> </w:t>
      </w:r>
      <w:r w:rsidR="23B227C0">
        <w:t>found</w:t>
      </w:r>
      <w:r w:rsidR="2683C3DB">
        <w:t xml:space="preserve"> </w:t>
      </w:r>
      <w:r w:rsidR="54633857">
        <w:t xml:space="preserve">that the </w:t>
      </w:r>
      <w:r w:rsidR="0014557E">
        <w:t>way</w:t>
      </w:r>
      <w:r w:rsidR="0FAABFDA">
        <w:t xml:space="preserve"> </w:t>
      </w:r>
      <w:r w:rsidR="5F9923ED">
        <w:t>customer due diligence</w:t>
      </w:r>
      <w:r w:rsidR="7350DCBD">
        <w:t xml:space="preserve"> (CDD)</w:t>
      </w:r>
      <w:r w:rsidR="5F9923ED">
        <w:t xml:space="preserve"> checks</w:t>
      </w:r>
      <w:r w:rsidR="0014557E">
        <w:t xml:space="preserve"> are implemented</w:t>
      </w:r>
      <w:r w:rsidR="00CC008F">
        <w:t>,</w:t>
      </w:r>
      <w:r w:rsidR="5F9923ED">
        <w:t xml:space="preserve"> such as ID and proof of address verification,</w:t>
      </w:r>
      <w:r w:rsidR="54633857">
        <w:t xml:space="preserve"> can</w:t>
      </w:r>
      <w:r w:rsidR="00834AA5">
        <w:t xml:space="preserve"> impact access to bank accounts for </w:t>
      </w:r>
      <w:r w:rsidR="0014557E">
        <w:t xml:space="preserve">some </w:t>
      </w:r>
      <w:r w:rsidR="00834AA5">
        <w:t>customers including</w:t>
      </w:r>
      <w:r w:rsidR="00715C49">
        <w:t xml:space="preserve"> recent migrants, older customers, </w:t>
      </w:r>
      <w:r w:rsidR="0014557E">
        <w:t xml:space="preserve">not-for-profit entities, </w:t>
      </w:r>
      <w:r w:rsidR="00DA1068">
        <w:t>rural and remote communities</w:t>
      </w:r>
      <w:r w:rsidR="0014557E">
        <w:t>, and people with disabilities</w:t>
      </w:r>
      <w:r w:rsidR="00DA1068">
        <w:t>.</w:t>
      </w:r>
      <w:r w:rsidR="00834AA5">
        <w:t xml:space="preserve"> </w:t>
      </w:r>
      <w:r w:rsidR="54633857">
        <w:t xml:space="preserve"> </w:t>
      </w:r>
      <w:r w:rsidR="00181F05">
        <w:t>Th</w:t>
      </w:r>
      <w:r w:rsidR="00695276">
        <w:t>is</w:t>
      </w:r>
      <w:r w:rsidR="00181F05">
        <w:t xml:space="preserve"> research also identified grey areas where </w:t>
      </w:r>
      <w:r w:rsidR="00147180">
        <w:t xml:space="preserve">some </w:t>
      </w:r>
      <w:r w:rsidR="00181F05">
        <w:t>frontline</w:t>
      </w:r>
      <w:r w:rsidR="00FA3012">
        <w:t xml:space="preserve"> staff</w:t>
      </w:r>
      <w:r w:rsidR="00181F05">
        <w:t xml:space="preserve"> reported complexity in customer onboarding, </w:t>
      </w:r>
      <w:r w:rsidR="00147180">
        <w:t>such as understanding what forms of ID they can accept and</w:t>
      </w:r>
      <w:r w:rsidR="00181F05">
        <w:t xml:space="preserve"> when </w:t>
      </w:r>
      <w:r w:rsidR="00147180">
        <w:t xml:space="preserve">they can use flexibility </w:t>
      </w:r>
      <w:r w:rsidR="00465ACA">
        <w:t>or</w:t>
      </w:r>
      <w:r w:rsidR="00147180">
        <w:t xml:space="preserve"> exceptions </w:t>
      </w:r>
      <w:r w:rsidR="00465ACA">
        <w:t>to onboard</w:t>
      </w:r>
      <w:r w:rsidR="00147180">
        <w:t xml:space="preserve"> customers without ID or proof of address. </w:t>
      </w:r>
      <w:r w:rsidR="7350DCBD">
        <w:t xml:space="preserve">While CDD is essential for </w:t>
      </w:r>
      <w:r w:rsidR="00013717">
        <w:t xml:space="preserve">detecting and deterring </w:t>
      </w:r>
      <w:r w:rsidR="7350DCBD">
        <w:t>financial crime, the</w:t>
      </w:r>
      <w:r w:rsidR="00465ACA">
        <w:t xml:space="preserve"> way customer CDD requirements are being implemented </w:t>
      </w:r>
      <w:r w:rsidR="7350DCBD">
        <w:t xml:space="preserve">can </w:t>
      </w:r>
      <w:r w:rsidR="00834AA5">
        <w:t>create unintended consequences for New Zealanders.</w:t>
      </w:r>
    </w:p>
    <w:p w14:paraId="1A590C3B" w14:textId="1DB004FD" w:rsidR="00492EA7" w:rsidRPr="007C14D9" w:rsidRDefault="71175FDD" w:rsidP="00051F65">
      <w:pPr>
        <w:rPr>
          <w:rFonts w:ascii="Segoe UI Light" w:eastAsia="Segoe UI Light" w:hAnsi="Segoe UI Light" w:cs="Segoe UI Light"/>
        </w:rPr>
      </w:pPr>
      <w:r>
        <w:lastRenderedPageBreak/>
        <w:t>The barriers to</w:t>
      </w:r>
      <w:r w:rsidR="00492EA7" w:rsidRPr="007C14D9">
        <w:t xml:space="preserve"> customer onboarding </w:t>
      </w:r>
      <w:r w:rsidR="00523D22">
        <w:t>create</w:t>
      </w:r>
      <w:r w:rsidR="00492EA7" w:rsidRPr="007C14D9">
        <w:t xml:space="preserve"> a gap between the supply of transaction accounts and demand from potential customers</w:t>
      </w:r>
      <w:r w:rsidR="00492EA7">
        <w:t xml:space="preserve">, </w:t>
      </w:r>
      <w:r w:rsidR="00E47218" w:rsidRPr="00E47218">
        <w:t xml:space="preserve">leaving some </w:t>
      </w:r>
      <w:r w:rsidR="005B6FCC">
        <w:t xml:space="preserve">people </w:t>
      </w:r>
      <w:r w:rsidR="00E47218" w:rsidRPr="00E47218">
        <w:t>unable to access these essential services</w:t>
      </w:r>
      <w:r w:rsidR="00492EA7" w:rsidRPr="007C14D9">
        <w:t>. Complex</w:t>
      </w:r>
      <w:r w:rsidR="00465ACA">
        <w:t>ity in the</w:t>
      </w:r>
      <w:r w:rsidR="00492EA7" w:rsidRPr="007C14D9">
        <w:t xml:space="preserve"> onboarding </w:t>
      </w:r>
      <w:r w:rsidR="2DA9A27F">
        <w:t xml:space="preserve">process </w:t>
      </w:r>
      <w:r w:rsidR="00465ACA">
        <w:t xml:space="preserve">can </w:t>
      </w:r>
      <w:r w:rsidR="2DA9A27F">
        <w:t>reflect both</w:t>
      </w:r>
      <w:r w:rsidR="00492EA7" w:rsidRPr="007C14D9">
        <w:t xml:space="preserve"> market and regulatory </w:t>
      </w:r>
      <w:r w:rsidR="6E5D8AE1">
        <w:t xml:space="preserve">challenges, </w:t>
      </w:r>
      <w:r w:rsidR="00492EA7">
        <w:t>with</w:t>
      </w:r>
      <w:r w:rsidR="00492EA7" w:rsidRPr="007C14D9">
        <w:t xml:space="preserve"> </w:t>
      </w:r>
      <w:r w:rsidR="6E5D8AE1">
        <w:t xml:space="preserve">ongoing </w:t>
      </w:r>
      <w:r w:rsidR="00492EA7" w:rsidRPr="007C14D9">
        <w:t xml:space="preserve">negative </w:t>
      </w:r>
      <w:r w:rsidR="096F0C82" w:rsidRPr="007C14D9">
        <w:t xml:space="preserve">impacts </w:t>
      </w:r>
      <w:r w:rsidR="66E5B754">
        <w:t>on</w:t>
      </w:r>
      <w:r w:rsidR="00492EA7" w:rsidRPr="007C14D9">
        <w:t xml:space="preserve"> people</w:t>
      </w:r>
      <w:r w:rsidR="00492EA7" w:rsidRPr="00746B3D">
        <w:t xml:space="preserve"> given the importance of transaction accounts for economic and societal participation.</w:t>
      </w:r>
      <w:bookmarkEnd w:id="8"/>
      <w:r w:rsidR="00492EA7" w:rsidRPr="00746B3D">
        <w:t xml:space="preserve"> The main objective underpinning CoFR’s work</w:t>
      </w:r>
      <w:r w:rsidR="00695276">
        <w:t xml:space="preserve"> on this Issues Paper</w:t>
      </w:r>
      <w:r w:rsidR="00492EA7" w:rsidRPr="00746B3D">
        <w:t xml:space="preserve"> is to</w:t>
      </w:r>
      <w:r w:rsidR="00695276">
        <w:t xml:space="preserve"> identify options for</w:t>
      </w:r>
      <w:r w:rsidR="00492EA7" w:rsidRPr="00746B3D">
        <w:t xml:space="preserve"> </w:t>
      </w:r>
      <w:r w:rsidR="0FFE7C7E">
        <w:t>reduc</w:t>
      </w:r>
      <w:r w:rsidR="00695276">
        <w:t>ing</w:t>
      </w:r>
      <w:r w:rsidR="50634C40">
        <w:t xml:space="preserve"> unnecessary</w:t>
      </w:r>
      <w:r w:rsidR="0FFE7C7E">
        <w:t xml:space="preserve"> </w:t>
      </w:r>
      <w:r w:rsidR="00492EA7" w:rsidRPr="00746B3D">
        <w:t>barriers</w:t>
      </w:r>
      <w:r w:rsidR="00695276">
        <w:t>,</w:t>
      </w:r>
      <w:r w:rsidR="00492EA7" w:rsidRPr="00746B3D">
        <w:t xml:space="preserve"> and </w:t>
      </w:r>
      <w:r w:rsidR="6DA1FC96">
        <w:t>enhanc</w:t>
      </w:r>
      <w:r w:rsidR="00FA3012">
        <w:t>ing</w:t>
      </w:r>
      <w:r w:rsidR="6DA1FC96">
        <w:t xml:space="preserve"> </w:t>
      </w:r>
      <w:r w:rsidR="00492EA7" w:rsidRPr="00746B3D">
        <w:t>market incentives</w:t>
      </w:r>
      <w:r w:rsidR="00695276">
        <w:t>,</w:t>
      </w:r>
      <w:r w:rsidR="00492EA7" w:rsidRPr="00746B3D">
        <w:t xml:space="preserve"> </w:t>
      </w:r>
      <w:r w:rsidR="6D84E209">
        <w:t>to improve access to</w:t>
      </w:r>
      <w:r w:rsidR="00492EA7" w:rsidRPr="00746B3D">
        <w:t xml:space="preserve"> basic transaction accounts that meet the needs of </w:t>
      </w:r>
      <w:r w:rsidR="3E56A647">
        <w:t>underserved</w:t>
      </w:r>
      <w:r w:rsidR="00492EA7" w:rsidRPr="00746B3D">
        <w:t xml:space="preserve"> communities in NZ.</w:t>
      </w:r>
    </w:p>
    <w:bookmarkEnd w:id="9"/>
    <w:p w14:paraId="6536F9DD" w14:textId="312E2E02" w:rsidR="00492EA7" w:rsidRPr="00207111" w:rsidRDefault="00492EA7" w:rsidP="00207111">
      <w:pPr>
        <w:rPr>
          <w:rFonts w:ascii="Segoe UI Semilight" w:hAnsi="Segoe UI Semilight" w:cs="Segoe UI Semilight"/>
          <w:b/>
          <w:color w:val="6B2A7F" w:themeColor="accent1"/>
          <w:sz w:val="26"/>
          <w:szCs w:val="26"/>
        </w:rPr>
      </w:pPr>
      <w:r w:rsidRPr="00207111">
        <w:rPr>
          <w:rFonts w:ascii="Segoe UI Semilight" w:hAnsi="Segoe UI Semilight" w:cs="Segoe UI Semilight"/>
          <w:b/>
          <w:color w:val="6B2A7F" w:themeColor="accent1"/>
          <w:sz w:val="26"/>
          <w:szCs w:val="26"/>
        </w:rPr>
        <w:t xml:space="preserve">We have explored international approaches to improve access to </w:t>
      </w:r>
      <w:r w:rsidR="00F07033" w:rsidRPr="00207111">
        <w:rPr>
          <w:rFonts w:ascii="Segoe UI Semilight" w:hAnsi="Segoe UI Semilight" w:cs="Segoe UI Semilight"/>
          <w:b/>
          <w:bCs/>
          <w:color w:val="6B2A7F" w:themeColor="accent1"/>
          <w:sz w:val="26"/>
          <w:szCs w:val="26"/>
        </w:rPr>
        <w:t>bank accounts</w:t>
      </w:r>
    </w:p>
    <w:p w14:paraId="091C899A" w14:textId="42DBFC1F" w:rsidR="00492EA7" w:rsidRPr="007C14D9" w:rsidRDefault="1B0CC3C8" w:rsidP="00051F65">
      <w:bookmarkStart w:id="10" w:name="_Hlk173870549"/>
      <w:r>
        <w:t xml:space="preserve">There is a growing body of information and knowledge among international standard setters on practices that can improve access to, and usage of, financial products and services. </w:t>
      </w:r>
      <w:r w:rsidR="00492EA7" w:rsidRPr="007C14D9">
        <w:t xml:space="preserve">A core premise of international efforts in </w:t>
      </w:r>
      <w:r w:rsidR="00124E3B">
        <w:t>financial inclusion</w:t>
      </w:r>
      <w:r w:rsidR="00492EA7" w:rsidRPr="007C14D9">
        <w:t xml:space="preserve"> is that </w:t>
      </w:r>
      <w:r w:rsidR="663AA83E">
        <w:t>everyone</w:t>
      </w:r>
      <w:r w:rsidR="00492EA7" w:rsidRPr="007C14D9">
        <w:t xml:space="preserve"> should be entitled to a </w:t>
      </w:r>
      <w:r w:rsidR="00124E3B">
        <w:t xml:space="preserve">basic </w:t>
      </w:r>
      <w:r w:rsidR="00492EA7" w:rsidRPr="007C14D9">
        <w:t>transaction account</w:t>
      </w:r>
      <w:r w:rsidR="00124E3B">
        <w:t xml:space="preserve"> </w:t>
      </w:r>
      <w:r w:rsidR="3CCB284A">
        <w:t>that allows them</w:t>
      </w:r>
      <w:r w:rsidR="15625162">
        <w:t xml:space="preserve"> </w:t>
      </w:r>
      <w:r w:rsidR="009F7BE8" w:rsidRPr="009F7BE8">
        <w:t>to make and receive payments</w:t>
      </w:r>
      <w:r w:rsidR="00E2654C">
        <w:t>,</w:t>
      </w:r>
      <w:r w:rsidR="009F7BE8" w:rsidRPr="009F7BE8">
        <w:t xml:space="preserve"> and store or save money</w:t>
      </w:r>
      <w:r w:rsidR="009F7BE8">
        <w:t>.</w:t>
      </w:r>
      <w:r w:rsidR="009F7BE8">
        <w:rPr>
          <w:rStyle w:val="FootnoteReference"/>
        </w:rPr>
        <w:footnoteReference w:id="11"/>
      </w:r>
      <w:r w:rsidR="00492EA7" w:rsidRPr="007C14D9">
        <w:t xml:space="preserve"> </w:t>
      </w:r>
      <w:r w:rsidR="00695276">
        <w:t>A common</w:t>
      </w:r>
      <w:r w:rsidR="52FDBBAF" w:rsidRPr="007C14D9">
        <w:t xml:space="preserve"> tool used </w:t>
      </w:r>
      <w:r w:rsidR="00695276">
        <w:t>in other jurisdictions</w:t>
      </w:r>
      <w:r w:rsidR="52FDBBAF" w:rsidRPr="007C14D9">
        <w:t xml:space="preserve"> to improve </w:t>
      </w:r>
      <w:r w:rsidR="00695276">
        <w:t>access to transaction accounts</w:t>
      </w:r>
      <w:r w:rsidR="52FDBBAF" w:rsidRPr="007C14D9">
        <w:t xml:space="preserve"> </w:t>
      </w:r>
      <w:r w:rsidR="00695276">
        <w:t>is</w:t>
      </w:r>
      <w:r w:rsidR="52FDBBAF" w:rsidRPr="007C14D9">
        <w:t xml:space="preserve"> </w:t>
      </w:r>
      <w:r w:rsidR="00695276">
        <w:t xml:space="preserve">the introduction of </w:t>
      </w:r>
      <w:r w:rsidR="52FDBBAF" w:rsidRPr="007C14D9">
        <w:t xml:space="preserve">‘basic transaction </w:t>
      </w:r>
      <w:proofErr w:type="gramStart"/>
      <w:r w:rsidR="52FDBBAF" w:rsidRPr="007C14D9">
        <w:t>account</w:t>
      </w:r>
      <w:r w:rsidR="00695276">
        <w:t>s</w:t>
      </w:r>
      <w:r w:rsidR="52FDBBAF" w:rsidRPr="007C14D9">
        <w:t>’</w:t>
      </w:r>
      <w:proofErr w:type="gramEnd"/>
      <w:r w:rsidR="00695276">
        <w:t xml:space="preserve"> and minimum standards for their provision</w:t>
      </w:r>
      <w:r w:rsidR="52FDBBAF" w:rsidRPr="007C14D9">
        <w:t>.</w:t>
      </w:r>
      <w:r w:rsidR="00695276">
        <w:t xml:space="preserve"> The</w:t>
      </w:r>
      <w:r w:rsidR="00695276" w:rsidRPr="007C14D9">
        <w:t xml:space="preserve"> </w:t>
      </w:r>
      <w:r w:rsidR="00695276">
        <w:t>2021</w:t>
      </w:r>
      <w:r w:rsidR="00695276" w:rsidRPr="007C14D9">
        <w:t xml:space="preserve"> World Bank Global Payment Survey</w:t>
      </w:r>
      <w:r w:rsidR="00695276">
        <w:rPr>
          <w:rStyle w:val="FootnoteReference"/>
        </w:rPr>
        <w:footnoteReference w:id="12"/>
      </w:r>
      <w:r w:rsidR="00695276">
        <w:t xml:space="preserve"> highlighted that</w:t>
      </w:r>
      <w:r w:rsidR="00695276" w:rsidRPr="008D0CE3">
        <w:t xml:space="preserve"> 81</w:t>
      </w:r>
      <w:r w:rsidR="00695276">
        <w:t>.0</w:t>
      </w:r>
      <w:r w:rsidR="00695276" w:rsidRPr="008D0CE3">
        <w:t xml:space="preserve">% </w:t>
      </w:r>
      <w:r w:rsidR="00695276">
        <w:t xml:space="preserve">(59/71) </w:t>
      </w:r>
      <w:r w:rsidR="00695276" w:rsidRPr="008D0CE3">
        <w:t>of surveyed countries</w:t>
      </w:r>
      <w:r w:rsidR="00695276">
        <w:t xml:space="preserve"> have</w:t>
      </w:r>
      <w:r w:rsidR="00695276" w:rsidRPr="008D0CE3">
        <w:t xml:space="preserve"> </w:t>
      </w:r>
      <w:r w:rsidR="00695276">
        <w:t xml:space="preserve">adopted </w:t>
      </w:r>
      <w:r w:rsidR="00695276" w:rsidRPr="008D0CE3">
        <w:t>minimum standards for basic transaction accounts</w:t>
      </w:r>
      <w:r w:rsidR="00695276">
        <w:t>, providing a strong basis to learn from international best practices</w:t>
      </w:r>
      <w:r w:rsidR="00E5343B">
        <w:t xml:space="preserve"> in this area.</w:t>
      </w:r>
      <w:r w:rsidR="00695276">
        <w:t xml:space="preserve"> </w:t>
      </w:r>
      <w:r w:rsidR="00492EA7" w:rsidRPr="007C14D9">
        <w:t xml:space="preserve">We have explored the definition and features of basic transaction accounts </w:t>
      </w:r>
      <w:r w:rsidR="1D4465C3">
        <w:t>internationally</w:t>
      </w:r>
      <w:r w:rsidR="7AC48DA5" w:rsidRPr="007C14D9">
        <w:t xml:space="preserve">, </w:t>
      </w:r>
      <w:r w:rsidR="1D4465C3">
        <w:t>as well as</w:t>
      </w:r>
      <w:r w:rsidR="1D4465C3" w:rsidRPr="007C14D9">
        <w:t xml:space="preserve"> </w:t>
      </w:r>
      <w:r w:rsidR="00492EA7" w:rsidRPr="007C14D9">
        <w:t xml:space="preserve">the efforts that financial regulators </w:t>
      </w:r>
      <w:r w:rsidR="08D69BDE">
        <w:t>and industry</w:t>
      </w:r>
      <w:r w:rsidR="7AC48DA5" w:rsidRPr="007C14D9">
        <w:t xml:space="preserve"> </w:t>
      </w:r>
      <w:r w:rsidR="00492EA7" w:rsidRPr="007C14D9">
        <w:t xml:space="preserve">have taken to make them widely available. </w:t>
      </w:r>
      <w:bookmarkEnd w:id="10"/>
    </w:p>
    <w:p w14:paraId="26D78528" w14:textId="2517A26E" w:rsidR="00492EA7" w:rsidRPr="00207111" w:rsidRDefault="00492EA7" w:rsidP="00207111">
      <w:pPr>
        <w:rPr>
          <w:rFonts w:ascii="Segoe UI Semilight" w:hAnsi="Segoe UI Semilight" w:cs="Segoe UI Semilight"/>
          <w:b/>
          <w:color w:val="6B2A7F" w:themeColor="accent1"/>
          <w:sz w:val="26"/>
          <w:szCs w:val="26"/>
        </w:rPr>
      </w:pPr>
      <w:r w:rsidRPr="00207111">
        <w:rPr>
          <w:rFonts w:ascii="Segoe UI Semilight" w:hAnsi="Segoe UI Semilight" w:cs="Segoe UI Semilight"/>
          <w:b/>
          <w:color w:val="6B2A7F" w:themeColor="accent1"/>
          <w:sz w:val="26"/>
          <w:szCs w:val="26"/>
        </w:rPr>
        <w:t xml:space="preserve">CoFR is seeking input on the </w:t>
      </w:r>
      <w:r w:rsidR="009F377B" w:rsidRPr="00207111">
        <w:rPr>
          <w:rFonts w:ascii="Segoe UI Semilight" w:hAnsi="Segoe UI Semilight" w:cs="Segoe UI Semilight"/>
          <w:b/>
          <w:bCs/>
          <w:color w:val="6B2A7F" w:themeColor="accent1"/>
          <w:sz w:val="26"/>
          <w:szCs w:val="26"/>
        </w:rPr>
        <w:t xml:space="preserve">opportunities </w:t>
      </w:r>
      <w:r w:rsidRPr="00207111">
        <w:rPr>
          <w:rFonts w:ascii="Segoe UI Semilight" w:hAnsi="Segoe UI Semilight" w:cs="Segoe UI Semilight"/>
          <w:b/>
          <w:color w:val="6B2A7F" w:themeColor="accent1"/>
          <w:sz w:val="26"/>
          <w:szCs w:val="26"/>
        </w:rPr>
        <w:t>to improve access to basic transaction accounts</w:t>
      </w:r>
    </w:p>
    <w:p w14:paraId="351C0974" w14:textId="3386E311" w:rsidR="00492EA7" w:rsidRPr="00051F65" w:rsidRDefault="00E5343B" w:rsidP="00051F65">
      <w:r w:rsidRPr="007C14D9">
        <w:t xml:space="preserve">We </w:t>
      </w:r>
      <w:r>
        <w:t>have identified</w:t>
      </w:r>
      <w:r w:rsidRPr="007C14D9">
        <w:t xml:space="preserve"> t</w:t>
      </w:r>
      <w:r>
        <w:t>hree</w:t>
      </w:r>
      <w:r w:rsidRPr="007C14D9">
        <w:t xml:space="preserve"> main approaches </w:t>
      </w:r>
      <w:r>
        <w:t>adopted</w:t>
      </w:r>
      <w:r w:rsidRPr="007C14D9">
        <w:t xml:space="preserve"> </w:t>
      </w:r>
      <w:r>
        <w:t>in other jurisdictions to develop and ensure the widespread availability of basic transaction accounts</w:t>
      </w:r>
      <w:r w:rsidRPr="007C14D9">
        <w:t>:</w:t>
      </w:r>
      <w:r>
        <w:t xml:space="preserve"> regulatory requirements, an industry-led approach, and a hybrid approach that involves close collaboration between regulators and the financial providers</w:t>
      </w:r>
      <w:r w:rsidRPr="007C14D9">
        <w:t xml:space="preserve">. </w:t>
      </w:r>
      <w:r w:rsidR="00492EA7" w:rsidRPr="00051F65">
        <w:t xml:space="preserve">We are seeking input on </w:t>
      </w:r>
      <w:r w:rsidR="00B83AF4" w:rsidRPr="00051F65">
        <w:t>three key</w:t>
      </w:r>
      <w:r w:rsidR="00492EA7" w:rsidRPr="00051F65">
        <w:t xml:space="preserve"> areas</w:t>
      </w:r>
      <w:r>
        <w:t xml:space="preserve"> related to the findings from our research</w:t>
      </w:r>
      <w:r w:rsidR="00492EA7" w:rsidRPr="00051F65">
        <w:t xml:space="preserve">: </w:t>
      </w:r>
    </w:p>
    <w:p w14:paraId="7EE9C51C" w14:textId="1092FB85" w:rsidR="006D2F60" w:rsidRPr="006D2F60" w:rsidRDefault="006D2F60" w:rsidP="00746B3D">
      <w:pPr>
        <w:pStyle w:val="ListNumber"/>
      </w:pPr>
      <w:r w:rsidRPr="000D4362">
        <w:rPr>
          <w:rStyle w:val="Emphasis"/>
        </w:rPr>
        <w:t>The problem definition and policy objective:</w:t>
      </w:r>
      <w:r>
        <w:rPr>
          <w:b/>
          <w:bCs/>
        </w:rPr>
        <w:t xml:space="preserve"> </w:t>
      </w:r>
      <w:r>
        <w:t>We are seeking feedback from stakeholders on whether</w:t>
      </w:r>
      <w:r w:rsidR="00E5343B">
        <w:t xml:space="preserve"> </w:t>
      </w:r>
      <w:r w:rsidR="11C22252">
        <w:t xml:space="preserve">we have </w:t>
      </w:r>
      <w:r>
        <w:t xml:space="preserve">appropriately defined the key issues associated with access to transaction accounts, whether there is </w:t>
      </w:r>
      <w:r w:rsidR="00797E1B">
        <w:t>broad support for</w:t>
      </w:r>
      <w:r w:rsidR="01D175E4">
        <w:t xml:space="preserve"> the concept of a basic transaction account</w:t>
      </w:r>
      <w:r w:rsidR="00E5343B">
        <w:t>,</w:t>
      </w:r>
      <w:r w:rsidR="01D175E4">
        <w:t xml:space="preserve"> or </w:t>
      </w:r>
      <w:r w:rsidR="00E5343B">
        <w:t xml:space="preserve">whether there are </w:t>
      </w:r>
      <w:r w:rsidR="01D175E4">
        <w:t xml:space="preserve">other </w:t>
      </w:r>
      <w:r w:rsidR="00E5343B">
        <w:t>effective solutions</w:t>
      </w:r>
      <w:r w:rsidR="01D175E4">
        <w:t xml:space="preserve"> t</w:t>
      </w:r>
      <w:r w:rsidR="00E5343B">
        <w:t>hat would</w:t>
      </w:r>
      <w:r w:rsidR="01D175E4">
        <w:t xml:space="preserve"> improve access</w:t>
      </w:r>
      <w:r w:rsidR="00E5343B">
        <w:t xml:space="preserve"> to transaction accounts</w:t>
      </w:r>
      <w:r w:rsidR="01D175E4">
        <w:t>.</w:t>
      </w:r>
    </w:p>
    <w:p w14:paraId="0FA36A48" w14:textId="33E6D956" w:rsidR="00492EA7" w:rsidRPr="007C14D9" w:rsidRDefault="00492EA7" w:rsidP="00746B3D">
      <w:pPr>
        <w:pStyle w:val="ListNumber"/>
      </w:pPr>
      <w:r w:rsidRPr="000D4362">
        <w:rPr>
          <w:rStyle w:val="Emphasis"/>
        </w:rPr>
        <w:t>The definition of a basic transaction account:</w:t>
      </w:r>
      <w:r>
        <w:t xml:space="preserve"> We are seeking input on the</w:t>
      </w:r>
      <w:r w:rsidR="006D2F60">
        <w:t xml:space="preserve"> high</w:t>
      </w:r>
      <w:r w:rsidR="00B522FE">
        <w:t>-</w:t>
      </w:r>
      <w:r w:rsidR="006D2F60">
        <w:t>level definition and broad</w:t>
      </w:r>
      <w:r w:rsidRPr="007C14D9">
        <w:t xml:space="preserve"> features of a basic transaction account that would meet the needs of underserved communities</w:t>
      </w:r>
      <w:r>
        <w:t xml:space="preserve"> in Aotearoa New Zealand</w:t>
      </w:r>
      <w:r w:rsidRPr="007C14D9">
        <w:t xml:space="preserve">. </w:t>
      </w:r>
    </w:p>
    <w:p w14:paraId="2EB5F13D" w14:textId="74FD56EC" w:rsidR="006D2F60" w:rsidRDefault="00492EA7" w:rsidP="00746B3D">
      <w:pPr>
        <w:pStyle w:val="ListNumber"/>
      </w:pPr>
      <w:r w:rsidRPr="000D4362">
        <w:rPr>
          <w:rStyle w:val="Emphasis"/>
        </w:rPr>
        <w:t xml:space="preserve">The approach to </w:t>
      </w:r>
      <w:r w:rsidR="006D2F60" w:rsidRPr="000D4362">
        <w:rPr>
          <w:rStyle w:val="Emphasis"/>
        </w:rPr>
        <w:t>design</w:t>
      </w:r>
      <w:r w:rsidR="00FA3012">
        <w:rPr>
          <w:rStyle w:val="Emphasis"/>
        </w:rPr>
        <w:t>ing</w:t>
      </w:r>
      <w:r w:rsidR="006D2F60" w:rsidRPr="000D4362">
        <w:rPr>
          <w:rStyle w:val="Emphasis"/>
        </w:rPr>
        <w:t xml:space="preserve"> and implement</w:t>
      </w:r>
      <w:r w:rsidR="00FA3012">
        <w:rPr>
          <w:rStyle w:val="Emphasis"/>
        </w:rPr>
        <w:t>ing</w:t>
      </w:r>
      <w:r w:rsidR="006D2F60" w:rsidRPr="000D4362">
        <w:rPr>
          <w:rStyle w:val="Emphasis"/>
        </w:rPr>
        <w:t xml:space="preserve"> basic transaction accounts</w:t>
      </w:r>
      <w:r w:rsidRPr="000D4362">
        <w:rPr>
          <w:rStyle w:val="Emphasis"/>
        </w:rPr>
        <w:t xml:space="preserve">: </w:t>
      </w:r>
      <w:r w:rsidRPr="00756A19">
        <w:t>We</w:t>
      </w:r>
      <w:r w:rsidRPr="007C14D9">
        <w:t xml:space="preserve"> are seeking input on whether the banking sector is well positioned to</w:t>
      </w:r>
      <w:r>
        <w:t xml:space="preserve"> set</w:t>
      </w:r>
      <w:r w:rsidRPr="007C14D9">
        <w:t xml:space="preserve"> minimum standards for the provision of basic transaction accounts, whether regulatory s</w:t>
      </w:r>
      <w:r w:rsidR="00E5343B">
        <w:t>upport</w:t>
      </w:r>
      <w:r w:rsidRPr="007C14D9">
        <w:t xml:space="preserve"> could be required</w:t>
      </w:r>
      <w:r w:rsidR="00D55A1E">
        <w:t>, or</w:t>
      </w:r>
      <w:r w:rsidR="00B50396">
        <w:t xml:space="preserve"> whether</w:t>
      </w:r>
      <w:r w:rsidR="00D55A1E">
        <w:t xml:space="preserve"> collaborat</w:t>
      </w:r>
      <w:r w:rsidR="00BB2DB6">
        <w:t>ion could take place</w:t>
      </w:r>
      <w:r w:rsidR="00D55A1E">
        <w:t xml:space="preserve"> </w:t>
      </w:r>
      <w:r w:rsidR="00BB2DB6">
        <w:t xml:space="preserve">to </w:t>
      </w:r>
      <w:r w:rsidR="008349ED">
        <w:t xml:space="preserve">set the parameters of </w:t>
      </w:r>
      <w:r w:rsidR="00B522FE" w:rsidRPr="007C14D9">
        <w:t xml:space="preserve">tailored </w:t>
      </w:r>
      <w:r w:rsidR="00B522FE" w:rsidRPr="007C14D9">
        <w:lastRenderedPageBreak/>
        <w:t xml:space="preserve">customer due diligence requirements </w:t>
      </w:r>
      <w:r w:rsidR="00BD22B6">
        <w:t>to make</w:t>
      </w:r>
      <w:r w:rsidR="00B522FE" w:rsidRPr="007C14D9">
        <w:t xml:space="preserve"> basic transaction accounts</w:t>
      </w:r>
      <w:r w:rsidR="00BD22B6">
        <w:t xml:space="preserve"> widely available</w:t>
      </w:r>
      <w:r w:rsidR="00176B2A">
        <w:t xml:space="preserve"> through a hybrid approach</w:t>
      </w:r>
      <w:r w:rsidR="00BD22B6">
        <w:t xml:space="preserve">. </w:t>
      </w:r>
    </w:p>
    <w:p w14:paraId="4F880BCA" w14:textId="637F4966" w:rsidR="00E5343B" w:rsidRDefault="00E5343B" w:rsidP="00051F65">
      <w:pPr>
        <w:keepLines/>
      </w:pPr>
      <w:r w:rsidRPr="007C14D9">
        <w:t xml:space="preserve">At this stage, CoFR is keeping an open mind as to whether the banking </w:t>
      </w:r>
      <w:r>
        <w:t xml:space="preserve">industry is able to implement </w:t>
      </w:r>
      <w:r w:rsidRPr="007C14D9">
        <w:t>basic transaction accounts</w:t>
      </w:r>
      <w:r>
        <w:t>,</w:t>
      </w:r>
      <w:r w:rsidRPr="007C14D9">
        <w:t xml:space="preserve"> or </w:t>
      </w:r>
      <w:r>
        <w:t xml:space="preserve">whether </w:t>
      </w:r>
      <w:r w:rsidRPr="007C14D9">
        <w:t xml:space="preserve">regulatory </w:t>
      </w:r>
      <w:r w:rsidRPr="00051F65">
        <w:t xml:space="preserve">support </w:t>
      </w:r>
      <w:r>
        <w:t>is required</w:t>
      </w:r>
      <w:r w:rsidRPr="00051F65">
        <w:t xml:space="preserve">. </w:t>
      </w:r>
      <w:r>
        <w:t>P</w:t>
      </w:r>
      <w:r w:rsidRPr="007C14D9">
        <w:t xml:space="preserve">roduct innovation </w:t>
      </w:r>
      <w:r>
        <w:t>or enhancing current practi</w:t>
      </w:r>
      <w:r w:rsidR="00FA3012">
        <w:t>c</w:t>
      </w:r>
      <w:r>
        <w:t>es to offer</w:t>
      </w:r>
      <w:r w:rsidRPr="007C14D9">
        <w:t xml:space="preserve"> basic transaction accounts </w:t>
      </w:r>
      <w:r>
        <w:t xml:space="preserve">could </w:t>
      </w:r>
      <w:r w:rsidRPr="007C14D9">
        <w:t>provide opportunities for entities to broaden their deposit base and enhance their social licen</w:t>
      </w:r>
      <w:r w:rsidR="00FA3012">
        <w:t>c</w:t>
      </w:r>
      <w:r w:rsidRPr="007C14D9">
        <w:t xml:space="preserve">e to operate. </w:t>
      </w:r>
    </w:p>
    <w:p w14:paraId="1F066099" w14:textId="18F62D67" w:rsidR="00492EA7" w:rsidRDefault="00E5343B" w:rsidP="00051F65">
      <w:pPr>
        <w:keepLines/>
      </w:pPr>
      <w:r w:rsidRPr="007C14D9">
        <w:t xml:space="preserve">This paper aims to start a conversation on </w:t>
      </w:r>
      <w:r>
        <w:t>the issue of access to basic transaction accounts and</w:t>
      </w:r>
      <w:r w:rsidRPr="007C14D9">
        <w:t xml:space="preserve"> supports greater collaboration on the design and delivery of </w:t>
      </w:r>
      <w:r>
        <w:t>possible solutions.</w:t>
      </w:r>
      <w:r w:rsidRPr="007C14D9">
        <w:t xml:space="preserve"> </w:t>
      </w:r>
      <w:r w:rsidR="00492EA7" w:rsidRPr="007C14D9">
        <w:t xml:space="preserve">We have allowed </w:t>
      </w:r>
      <w:r w:rsidR="2DC6CDA6" w:rsidRPr="753923B8">
        <w:rPr>
          <w:b/>
          <w:bCs/>
        </w:rPr>
        <w:t>eight</w:t>
      </w:r>
      <w:r w:rsidR="00492EA7" w:rsidRPr="753923B8">
        <w:rPr>
          <w:b/>
        </w:rPr>
        <w:t xml:space="preserve"> week</w:t>
      </w:r>
      <w:r w:rsidR="00FA3012">
        <w:rPr>
          <w:b/>
        </w:rPr>
        <w:t xml:space="preserve">s </w:t>
      </w:r>
      <w:r w:rsidR="00492EA7" w:rsidRPr="007C14D9">
        <w:t xml:space="preserve">to gather feedback on these </w:t>
      </w:r>
      <w:r w:rsidR="00B83AF4">
        <w:t>three</w:t>
      </w:r>
      <w:r w:rsidR="002004B6">
        <w:t xml:space="preserve"> </w:t>
      </w:r>
      <w:r w:rsidR="00492EA7" w:rsidRPr="007C14D9">
        <w:t>areas</w:t>
      </w:r>
      <w:r w:rsidR="00FA3012">
        <w:t>, and w</w:t>
      </w:r>
      <w:r w:rsidR="00492EA7" w:rsidRPr="007C14D9">
        <w:t>e welcome input from stakeholders across the financial sector</w:t>
      </w:r>
      <w:r w:rsidR="00492EA7">
        <w:t>,</w:t>
      </w:r>
      <w:r w:rsidR="00492EA7" w:rsidRPr="007C14D9">
        <w:t xml:space="preserve"> a</w:t>
      </w:r>
      <w:r w:rsidR="00492EA7">
        <w:t xml:space="preserve">s well as </w:t>
      </w:r>
      <w:r w:rsidR="00492EA7" w:rsidRPr="007C14D9">
        <w:t>communities more broadly</w:t>
      </w:r>
      <w:r w:rsidR="00492EA7">
        <w:t xml:space="preserve"> </w:t>
      </w:r>
      <w:r w:rsidR="002004B6">
        <w:t>who</w:t>
      </w:r>
      <w:r w:rsidR="00492EA7" w:rsidRPr="007C14D9">
        <w:t xml:space="preserve"> are affected by </w:t>
      </w:r>
      <w:r w:rsidR="78CC0015">
        <w:t>access to bank account issues.</w:t>
      </w:r>
      <w:r w:rsidR="00FA3012">
        <w:t xml:space="preserve"> Please provide your comments via Citizen Space by Wednesday 18 June 2025. </w:t>
      </w:r>
      <w:r w:rsidR="00C251A5">
        <w:t>Please s</w:t>
      </w:r>
      <w:r w:rsidR="00FA3012">
        <w:t xml:space="preserve">ee the CoFR website </w:t>
      </w:r>
      <w:hyperlink r:id="rId13" w:history="1">
        <w:r w:rsidR="00FA3012" w:rsidRPr="00C251A5">
          <w:rPr>
            <w:rStyle w:val="Hyperlink"/>
          </w:rPr>
          <w:t>here</w:t>
        </w:r>
      </w:hyperlink>
      <w:r w:rsidR="00C251A5">
        <w:rPr>
          <w:rStyle w:val="FootnoteReference"/>
        </w:rPr>
        <w:footnoteReference w:id="13"/>
      </w:r>
      <w:r w:rsidR="00FA3012">
        <w:t xml:space="preserve"> for more information. </w:t>
      </w:r>
    </w:p>
    <w:p w14:paraId="52B48BD9" w14:textId="77777777" w:rsidR="00492EA7" w:rsidRPr="007C14D9" w:rsidRDefault="00492EA7" w:rsidP="008D1FB2">
      <w:pPr>
        <w:pStyle w:val="Heading1Numbered"/>
      </w:pPr>
      <w:bookmarkStart w:id="11" w:name="_Toc193437681"/>
      <w:bookmarkStart w:id="12" w:name="_Toc196208739"/>
      <w:r w:rsidRPr="007C14D9">
        <w:lastRenderedPageBreak/>
        <w:t>Background and outline</w:t>
      </w:r>
      <w:bookmarkEnd w:id="11"/>
      <w:bookmarkEnd w:id="12"/>
      <w:r w:rsidRPr="007C14D9">
        <w:t xml:space="preserve"> </w:t>
      </w:r>
    </w:p>
    <w:p w14:paraId="2FEA71D5" w14:textId="0431D3AC" w:rsidR="00421AA0" w:rsidRPr="001F2F7E" w:rsidRDefault="001F2F7E" w:rsidP="00421AA0">
      <w:pPr>
        <w:rPr>
          <w:rFonts w:ascii="Segoe UI Semilight" w:hAnsi="Segoe UI Semilight" w:cs="Segoe UI Semilight"/>
          <w:b/>
          <w:color w:val="6B2A7F" w:themeColor="accent1"/>
          <w:sz w:val="26"/>
          <w:szCs w:val="26"/>
        </w:rPr>
      </w:pPr>
      <w:r>
        <w:rPr>
          <w:rFonts w:ascii="Segoe UI Semilight" w:hAnsi="Segoe UI Semilight" w:cs="Segoe UI Semilight"/>
          <w:b/>
          <w:color w:val="6B2A7F" w:themeColor="accent1"/>
          <w:sz w:val="26"/>
          <w:szCs w:val="26"/>
        </w:rPr>
        <w:t xml:space="preserve">Financial inclusion and access to </w:t>
      </w:r>
      <w:r w:rsidR="002B26F1">
        <w:rPr>
          <w:rFonts w:ascii="Segoe UI Semilight" w:hAnsi="Segoe UI Semilight" w:cs="Segoe UI Semilight"/>
          <w:b/>
          <w:color w:val="6B2A7F" w:themeColor="accent1"/>
          <w:sz w:val="26"/>
          <w:szCs w:val="26"/>
        </w:rPr>
        <w:t>basic transaction</w:t>
      </w:r>
      <w:r>
        <w:rPr>
          <w:rFonts w:ascii="Segoe UI Semilight" w:hAnsi="Segoe UI Semilight" w:cs="Segoe UI Semilight"/>
          <w:b/>
          <w:color w:val="6B2A7F" w:themeColor="accent1"/>
          <w:sz w:val="26"/>
          <w:szCs w:val="26"/>
        </w:rPr>
        <w:t xml:space="preserve"> accounts is a priority for CoFR</w:t>
      </w:r>
    </w:p>
    <w:p w14:paraId="1216759E" w14:textId="22FA524D" w:rsidR="00F06175" w:rsidRDefault="00421AA0" w:rsidP="00421AA0">
      <w:r w:rsidRPr="00BD4FAB">
        <w:t>CoFR's vision of</w:t>
      </w:r>
      <w:r w:rsidR="00F06175">
        <w:t xml:space="preserve"> financial inclusion is to</w:t>
      </w:r>
      <w:r w:rsidRPr="00BD4FAB">
        <w:t xml:space="preserve"> improv</w:t>
      </w:r>
      <w:r w:rsidR="00F06175">
        <w:t>e</w:t>
      </w:r>
      <w:r w:rsidRPr="00BD4FAB">
        <w:t xml:space="preserve"> access to financial products and services that meet the needs of both consumers and firms. </w:t>
      </w:r>
      <w:r w:rsidR="00F06175">
        <w:t xml:space="preserve">In </w:t>
      </w:r>
      <w:r w:rsidR="00CC1135">
        <w:t>August</w:t>
      </w:r>
      <w:r w:rsidR="00F06175">
        <w:t xml:space="preserve"> </w:t>
      </w:r>
      <w:r w:rsidR="00CC1135">
        <w:t>202</w:t>
      </w:r>
      <w:r w:rsidR="009C32DF">
        <w:t>4</w:t>
      </w:r>
      <w:r w:rsidR="00F06175">
        <w:t xml:space="preserve">, CoFR </w:t>
      </w:r>
      <w:r w:rsidR="00FA43AC">
        <w:t>agreed to develop a</w:t>
      </w:r>
      <w:r w:rsidR="00CC1135">
        <w:t xml:space="preserve"> joint</w:t>
      </w:r>
      <w:r w:rsidR="00FA43AC">
        <w:t xml:space="preserve"> issues paper on</w:t>
      </w:r>
      <w:r w:rsidR="00F06175">
        <w:t xml:space="preserve"> access to basic </w:t>
      </w:r>
      <w:r w:rsidR="009C32DF">
        <w:t>transaction</w:t>
      </w:r>
      <w:r w:rsidR="00F06175">
        <w:t xml:space="preserve"> accounts</w:t>
      </w:r>
      <w:r w:rsidR="00A053E2">
        <w:t>.</w:t>
      </w:r>
      <w:r w:rsidR="00A053E2">
        <w:rPr>
          <w:rStyle w:val="FootnoteReference"/>
        </w:rPr>
        <w:footnoteReference w:id="14"/>
      </w:r>
      <w:r w:rsidR="00F06175">
        <w:t xml:space="preserve"> </w:t>
      </w:r>
      <w:r w:rsidRPr="00BD4FAB">
        <w:t xml:space="preserve">By focusing on transaction accounts, we aim to </w:t>
      </w:r>
      <w:r w:rsidR="004531FF">
        <w:t>ensure people can access</w:t>
      </w:r>
      <w:r w:rsidRPr="00BD4FAB">
        <w:t xml:space="preserve"> a fundamental financial tool that can serve as a gateway to broader financial inclusion</w:t>
      </w:r>
      <w:r>
        <w:t xml:space="preserve">. </w:t>
      </w:r>
      <w:r w:rsidR="004531FF" w:rsidRPr="00746B3D">
        <w:t>The main objective underpinning CoFR’s work i</w:t>
      </w:r>
      <w:r w:rsidR="004531FF">
        <w:t>n this area is</w:t>
      </w:r>
      <w:r w:rsidR="004531FF" w:rsidRPr="00746B3D">
        <w:t xml:space="preserve"> to </w:t>
      </w:r>
      <w:r w:rsidR="004531FF">
        <w:t xml:space="preserve">reduce unnecessary </w:t>
      </w:r>
      <w:r w:rsidR="004531FF" w:rsidRPr="00746B3D">
        <w:t xml:space="preserve">barriers and </w:t>
      </w:r>
      <w:r w:rsidR="004531FF">
        <w:t xml:space="preserve">enhance </w:t>
      </w:r>
      <w:r w:rsidR="004531FF" w:rsidRPr="00746B3D">
        <w:t xml:space="preserve">market incentives </w:t>
      </w:r>
      <w:r w:rsidR="004531FF">
        <w:t>to improve access to</w:t>
      </w:r>
      <w:r w:rsidR="004531FF" w:rsidRPr="00746B3D">
        <w:t xml:space="preserve"> basic transaction accounts that meet the needs of </w:t>
      </w:r>
      <w:r w:rsidR="004531FF">
        <w:t>underserved</w:t>
      </w:r>
      <w:r w:rsidR="004531FF" w:rsidRPr="00746B3D">
        <w:t xml:space="preserve"> communities in NZ.</w:t>
      </w:r>
      <w:r w:rsidR="004531FF">
        <w:t xml:space="preserve"> </w:t>
      </w:r>
      <w:r>
        <w:t>Working towards</w:t>
      </w:r>
      <w:r w:rsidRPr="005B3858">
        <w:t xml:space="preserve"> </w:t>
      </w:r>
      <w:r w:rsidR="004531FF">
        <w:t>this objective</w:t>
      </w:r>
      <w:r w:rsidRPr="005B3858">
        <w:t xml:space="preserve"> will contribute to the financial </w:t>
      </w:r>
      <w:r>
        <w:t>prosperity and wellbeing</w:t>
      </w:r>
      <w:r w:rsidRPr="005B3858">
        <w:t xml:space="preserve"> of all New </w:t>
      </w:r>
      <w:proofErr w:type="gramStart"/>
      <w:r w:rsidRPr="005B3858">
        <w:t>Zealanders</w:t>
      </w:r>
      <w:r>
        <w:t>,</w:t>
      </w:r>
      <w:r w:rsidRPr="005B3858">
        <w:t xml:space="preserve"> and</w:t>
      </w:r>
      <w:proofErr w:type="gramEnd"/>
      <w:r w:rsidRPr="005B3858">
        <w:t xml:space="preserve"> support </w:t>
      </w:r>
      <w:r w:rsidR="004531FF" w:rsidRPr="004531FF">
        <w:t>effective and responsive regulation of the</w:t>
      </w:r>
      <w:r>
        <w:t xml:space="preserve"> </w:t>
      </w:r>
      <w:r w:rsidRPr="005B3858">
        <w:t>financial system</w:t>
      </w:r>
      <w:r>
        <w:t>.</w:t>
      </w:r>
      <w:r w:rsidR="004531FF">
        <w:rPr>
          <w:rStyle w:val="FootnoteReference"/>
        </w:rPr>
        <w:footnoteReference w:id="15"/>
      </w:r>
      <w:r w:rsidR="00F06175">
        <w:t xml:space="preserve"> </w:t>
      </w:r>
    </w:p>
    <w:p w14:paraId="7365DB7F" w14:textId="64FD2C3A" w:rsidR="00492EA7" w:rsidRPr="00207111" w:rsidRDefault="00492EA7" w:rsidP="00207111">
      <w:pPr>
        <w:rPr>
          <w:rFonts w:ascii="Segoe UI Semilight" w:hAnsi="Segoe UI Semilight" w:cs="Segoe UI Semilight"/>
          <w:b/>
          <w:color w:val="6B2A7F" w:themeColor="accent1"/>
          <w:sz w:val="26"/>
          <w:szCs w:val="26"/>
        </w:rPr>
      </w:pPr>
      <w:r w:rsidRPr="00207111">
        <w:rPr>
          <w:rFonts w:ascii="Segoe UI Semilight" w:hAnsi="Segoe UI Semilight" w:cs="Segoe UI Semilight"/>
          <w:b/>
          <w:color w:val="6B2A7F" w:themeColor="accent1"/>
          <w:sz w:val="26"/>
          <w:szCs w:val="26"/>
        </w:rPr>
        <w:t xml:space="preserve">Recent research has highlighted the issue of access to transaction accounts </w:t>
      </w:r>
    </w:p>
    <w:p w14:paraId="66D1962A" w14:textId="13ADD8B6" w:rsidR="00492EA7" w:rsidRPr="007C14D9" w:rsidRDefault="00492EA7" w:rsidP="00954C8C">
      <w:pPr>
        <w:spacing w:after="120"/>
      </w:pPr>
      <w:r>
        <w:t xml:space="preserve">CoFR’s interest in the issue of access to transaction accounts has been informed by our </w:t>
      </w:r>
      <w:r w:rsidR="7AC48DA5">
        <w:t>engagement</w:t>
      </w:r>
      <w:r w:rsidR="34F2E040">
        <w:t>s</w:t>
      </w:r>
      <w:r>
        <w:t xml:space="preserve"> and recent research. </w:t>
      </w:r>
      <w:bookmarkStart w:id="13" w:name="_Hlk178208791"/>
      <w:r>
        <w:t xml:space="preserve">Over the last two years, the CoFR Financial Inclusion Community of Practice has met with a range of stakeholders on financial inclusion to understand issues that cut across our respective roles and remits. </w:t>
      </w:r>
      <w:bookmarkEnd w:id="13"/>
      <w:r w:rsidRPr="007C14D9">
        <w:t xml:space="preserve">Some of the individuals and organisations we have met with include: </w:t>
      </w:r>
    </w:p>
    <w:p w14:paraId="117AB9F4" w14:textId="17415A27" w:rsidR="00492EA7" w:rsidRPr="007C14D9" w:rsidRDefault="00492EA7" w:rsidP="002C4DA7">
      <w:pPr>
        <w:pStyle w:val="ListBullet"/>
      </w:pPr>
      <w:r w:rsidRPr="007C14D9">
        <w:t>Westpac NZ</w:t>
      </w:r>
      <w:r w:rsidRPr="007C14D9">
        <w:rPr>
          <w:rStyle w:val="FootnoteReference"/>
        </w:rPr>
        <w:footnoteReference w:id="16"/>
      </w:r>
      <w:r w:rsidRPr="007C14D9">
        <w:t xml:space="preserve"> regarding the </w:t>
      </w:r>
      <w:r w:rsidRPr="007C14D9">
        <w:rPr>
          <w:i/>
          <w:iCs/>
        </w:rPr>
        <w:t>Westpac NZ Access to Banking in Aotearoa Report</w:t>
      </w:r>
      <w:r w:rsidR="00176B2A">
        <w:t xml:space="preserve"> </w:t>
      </w:r>
      <w:r w:rsidR="00D407CF">
        <w:t xml:space="preserve">and the </w:t>
      </w:r>
      <w:r w:rsidR="00D407CF" w:rsidRPr="00D407CF">
        <w:rPr>
          <w:i/>
          <w:iCs/>
        </w:rPr>
        <w:t xml:space="preserve">Disability and Inclusion </w:t>
      </w:r>
      <w:r w:rsidR="00D407CF">
        <w:rPr>
          <w:i/>
          <w:iCs/>
        </w:rPr>
        <w:t xml:space="preserve">in Banking </w:t>
      </w:r>
      <w:r w:rsidR="00384C19" w:rsidRPr="00D407CF">
        <w:rPr>
          <w:i/>
          <w:iCs/>
        </w:rPr>
        <w:t>Report</w:t>
      </w:r>
      <w:r w:rsidR="00384C19">
        <w:t>,</w:t>
      </w:r>
      <w:r w:rsidR="00384C19" w:rsidRPr="007C14D9">
        <w:t xml:space="preserve"> which</w:t>
      </w:r>
      <w:r w:rsidRPr="007C14D9">
        <w:t xml:space="preserve"> explore access to banking barriers, the impact of not having a transaction account, and the size and significance of this issue;</w:t>
      </w:r>
      <w:r w:rsidRPr="007C14D9">
        <w:rPr>
          <w:rStyle w:val="FootnoteReference"/>
        </w:rPr>
        <w:footnoteReference w:id="17"/>
      </w:r>
      <w:r w:rsidRPr="007C14D9">
        <w:t xml:space="preserve"> </w:t>
      </w:r>
    </w:p>
    <w:p w14:paraId="2C3C8050" w14:textId="77777777" w:rsidR="00492EA7" w:rsidRPr="007C14D9" w:rsidRDefault="00492EA7" w:rsidP="002C4DA7">
      <w:pPr>
        <w:pStyle w:val="ListBullet"/>
      </w:pPr>
      <w:r w:rsidRPr="007C14D9">
        <w:t>Victoria Stace</w:t>
      </w:r>
      <w:r w:rsidRPr="007C14D9">
        <w:rPr>
          <w:rStyle w:val="FootnoteReference"/>
        </w:rPr>
        <w:footnoteReference w:id="18"/>
      </w:r>
      <w:r w:rsidRPr="007C14D9">
        <w:t xml:space="preserve"> regarding joint FinCap</w:t>
      </w:r>
      <w:r w:rsidRPr="007C14D9">
        <w:rPr>
          <w:rStyle w:val="FootnoteReference"/>
        </w:rPr>
        <w:footnoteReference w:id="19"/>
      </w:r>
      <w:r w:rsidRPr="007C14D9">
        <w:t xml:space="preserve"> and Victoria University research </w:t>
      </w:r>
      <w:r w:rsidRPr="007C14D9">
        <w:rPr>
          <w:i/>
          <w:iCs/>
        </w:rPr>
        <w:t>Paying the Price</w:t>
      </w:r>
      <w:r w:rsidRPr="007C14D9">
        <w:t xml:space="preserve"> on access to banking for former prisoners, which builds a picture of the issues faced by prisoners and people coming out of prison when seeking access to a transaction account;</w:t>
      </w:r>
      <w:r w:rsidRPr="007C14D9">
        <w:rPr>
          <w:rStyle w:val="FootnoteReference"/>
        </w:rPr>
        <w:footnoteReference w:id="20"/>
      </w:r>
    </w:p>
    <w:p w14:paraId="28133928" w14:textId="5BF668C9" w:rsidR="00492EA7" w:rsidRPr="007C14D9" w:rsidRDefault="00492EA7" w:rsidP="002C4DA7">
      <w:pPr>
        <w:pStyle w:val="ListBullet"/>
      </w:pPr>
      <w:r w:rsidRPr="007C14D9">
        <w:t>FinCap and Christians Against Poverty</w:t>
      </w:r>
      <w:r w:rsidRPr="007C14D9">
        <w:rPr>
          <w:rStyle w:val="FootnoteReference"/>
        </w:rPr>
        <w:footnoteReference w:id="21"/>
      </w:r>
      <w:r w:rsidRPr="007C14D9">
        <w:t xml:space="preserve"> on the impacts of financial exclusion that financial mentors are seeing in their work with clients across</w:t>
      </w:r>
      <w:r w:rsidR="004A4E2A">
        <w:t xml:space="preserve"> Aotearoa</w:t>
      </w:r>
      <w:r w:rsidRPr="007C14D9">
        <w:t xml:space="preserve"> </w:t>
      </w:r>
      <w:proofErr w:type="gramStart"/>
      <w:r w:rsidRPr="007C14D9">
        <w:t>New Zealand</w:t>
      </w:r>
      <w:r>
        <w:t>;</w:t>
      </w:r>
      <w:proofErr w:type="gramEnd"/>
    </w:p>
    <w:p w14:paraId="048480F0" w14:textId="77777777" w:rsidR="00492EA7" w:rsidRPr="007C14D9" w:rsidRDefault="00492EA7" w:rsidP="002C4DA7">
      <w:pPr>
        <w:pStyle w:val="ListBullet"/>
      </w:pPr>
      <w:r w:rsidRPr="007C14D9">
        <w:t>MyMahi</w:t>
      </w:r>
      <w:r w:rsidRPr="007C14D9">
        <w:rPr>
          <w:rStyle w:val="FootnoteReference"/>
        </w:rPr>
        <w:footnoteReference w:id="22"/>
      </w:r>
      <w:r w:rsidRPr="007C14D9">
        <w:t xml:space="preserve"> on the issues that young people face when opening transaction accounts;</w:t>
      </w:r>
      <w:r w:rsidRPr="007C14D9">
        <w:rPr>
          <w:rStyle w:val="FootnoteReference"/>
        </w:rPr>
        <w:footnoteReference w:id="23"/>
      </w:r>
    </w:p>
    <w:p w14:paraId="6A531CA6" w14:textId="4FFEF890" w:rsidR="00492EA7" w:rsidRPr="007C14D9" w:rsidRDefault="00492EA7" w:rsidP="002C4DA7">
      <w:pPr>
        <w:pStyle w:val="ListBullet"/>
      </w:pPr>
      <w:r w:rsidRPr="007C14D9">
        <w:t>Community Networks Aotearoa</w:t>
      </w:r>
      <w:r w:rsidRPr="007C14D9">
        <w:rPr>
          <w:rStyle w:val="FootnoteReference"/>
        </w:rPr>
        <w:footnoteReference w:id="24"/>
      </w:r>
      <w:r w:rsidRPr="007C14D9">
        <w:t xml:space="preserve"> on the </w:t>
      </w:r>
      <w:r w:rsidRPr="007C14D9">
        <w:rPr>
          <w:i/>
          <w:iCs/>
        </w:rPr>
        <w:t xml:space="preserve">Better Banking </w:t>
      </w:r>
      <w:r w:rsidRPr="007C14D9">
        <w:t>report, which examines issues experienced with access to banking services for not-for-profit entities (particularly for smaller charitable trusts)</w:t>
      </w:r>
      <w:r w:rsidRPr="007C14D9">
        <w:rPr>
          <w:rStyle w:val="FootnoteReference"/>
        </w:rPr>
        <w:footnoteReference w:id="25"/>
      </w:r>
      <w:r w:rsidR="00E7591E">
        <w:t xml:space="preserve">; and </w:t>
      </w:r>
    </w:p>
    <w:p w14:paraId="59E3C6E5" w14:textId="77777777" w:rsidR="002C4DA7" w:rsidRPr="002C4DA7" w:rsidRDefault="00F23A47" w:rsidP="002C4DA7">
      <w:pPr>
        <w:pStyle w:val="ListBullet"/>
        <w:rPr>
          <w:rFonts w:ascii="Segoe UI Semibold" w:hAnsi="Segoe UI Semibold" w:cs="Segoe UI Semibold"/>
          <w:color w:val="6B2A7F" w:themeColor="accent3"/>
          <w:sz w:val="26"/>
          <w:szCs w:val="26"/>
        </w:rPr>
      </w:pPr>
      <w:r>
        <w:lastRenderedPageBreak/>
        <w:t>ThinkPlace</w:t>
      </w:r>
      <w:r w:rsidR="00622089">
        <w:t>NZ</w:t>
      </w:r>
      <w:r w:rsidR="62592851">
        <w:t xml:space="preserve">, who </w:t>
      </w:r>
      <w:r w:rsidR="0076372A">
        <w:t>RBNZ</w:t>
      </w:r>
      <w:r w:rsidR="62592851">
        <w:t xml:space="preserve"> commissioned </w:t>
      </w:r>
      <w:r w:rsidR="00475913">
        <w:t>to</w:t>
      </w:r>
      <w:r w:rsidR="00B26562">
        <w:t xml:space="preserve"> undertake r</w:t>
      </w:r>
      <w:r w:rsidR="00622089">
        <w:t>esearch</w:t>
      </w:r>
      <w:r w:rsidR="00B26562">
        <w:t xml:space="preserve"> on</w:t>
      </w:r>
      <w:r w:rsidR="00622089">
        <w:t xml:space="preserve"> the Customer Onboarding Processes from the perspective of frontline staff and underserved customers</w:t>
      </w:r>
      <w:r w:rsidR="00475913">
        <w:t>,</w:t>
      </w:r>
      <w:r w:rsidR="00622089">
        <w:t xml:space="preserve"> to clarify the problem definition and underlying drivers behind access to banking issues.</w:t>
      </w:r>
      <w:r w:rsidR="009572BE">
        <w:rPr>
          <w:rStyle w:val="FootnoteReference"/>
        </w:rPr>
        <w:footnoteReference w:id="26"/>
      </w:r>
    </w:p>
    <w:p w14:paraId="5DF9EA58" w14:textId="6B903E16" w:rsidR="002C4DA7" w:rsidRPr="002C4DA7" w:rsidRDefault="002C4DA7" w:rsidP="002C4DA7">
      <w:pPr>
        <w:pStyle w:val="ListBullet"/>
        <w:numPr>
          <w:ilvl w:val="0"/>
          <w:numId w:val="0"/>
        </w:numPr>
        <w:spacing w:after="120"/>
        <w:rPr>
          <w:rFonts w:ascii="Segoe UI Semibold" w:hAnsi="Segoe UI Semibold" w:cs="Segoe UI Semibold"/>
          <w:color w:val="6B2A7F" w:themeColor="accent3"/>
          <w:sz w:val="26"/>
          <w:szCs w:val="26"/>
        </w:rPr>
      </w:pPr>
      <w:r w:rsidRPr="007C14D9">
        <w:t xml:space="preserve">Access to transaction accounts was a persistent topic raised during our meetings </w:t>
      </w:r>
      <w:r>
        <w:t xml:space="preserve">with these organisations </w:t>
      </w:r>
      <w:r w:rsidRPr="007C14D9">
        <w:t>as an issue impacting New Zealanders and preventing some people from fully participating in the economy and society.</w:t>
      </w:r>
    </w:p>
    <w:p w14:paraId="1C814B01" w14:textId="50BC10F7" w:rsidR="00492EA7" w:rsidRPr="00CF0E76" w:rsidRDefault="00492EA7" w:rsidP="002C4DA7">
      <w:pPr>
        <w:pStyle w:val="ListBullet"/>
        <w:numPr>
          <w:ilvl w:val="0"/>
          <w:numId w:val="0"/>
        </w:numPr>
        <w:rPr>
          <w:rFonts w:ascii="Segoe UI Semibold" w:hAnsi="Segoe UI Semibold" w:cs="Segoe UI Semibold"/>
          <w:color w:val="6B2A7F" w:themeColor="accent3"/>
          <w:sz w:val="26"/>
          <w:szCs w:val="26"/>
        </w:rPr>
      </w:pPr>
      <w:r w:rsidRPr="006B361E">
        <w:rPr>
          <w:rFonts w:ascii="Segoe UI Semilight" w:hAnsi="Segoe UI Semilight" w:cs="Segoe UI Semilight"/>
          <w:b/>
          <w:color w:val="6B2A7F" w:themeColor="accent1"/>
          <w:sz w:val="26"/>
          <w:szCs w:val="26"/>
        </w:rPr>
        <w:t xml:space="preserve">This Issues Paper </w:t>
      </w:r>
      <w:r w:rsidR="00622089" w:rsidRPr="006B361E">
        <w:rPr>
          <w:rFonts w:ascii="Segoe UI Semilight" w:hAnsi="Segoe UI Semilight" w:cs="Segoe UI Semilight"/>
          <w:b/>
          <w:color w:val="6B2A7F" w:themeColor="accent1"/>
          <w:sz w:val="26"/>
          <w:szCs w:val="26"/>
        </w:rPr>
        <w:t xml:space="preserve">explores </w:t>
      </w:r>
      <w:r w:rsidRPr="006B361E">
        <w:rPr>
          <w:rFonts w:ascii="Segoe UI Semilight" w:hAnsi="Segoe UI Semilight" w:cs="Segoe UI Semilight"/>
          <w:b/>
          <w:color w:val="6B2A7F" w:themeColor="accent1"/>
          <w:sz w:val="26"/>
          <w:szCs w:val="26"/>
        </w:rPr>
        <w:t xml:space="preserve">a recommendation in the Market Study </w:t>
      </w:r>
    </w:p>
    <w:p w14:paraId="2727377D" w14:textId="412C4ECE" w:rsidR="00492EA7" w:rsidRPr="007C14D9" w:rsidRDefault="00492EA7" w:rsidP="00954C8C">
      <w:pPr>
        <w:spacing w:after="160"/>
      </w:pPr>
      <w:r w:rsidRPr="007C14D9">
        <w:t xml:space="preserve">The Commerce Commission’s Market Study into Personal Banking Services (Market Study) </w:t>
      </w:r>
      <w:r w:rsidR="00A86F2D">
        <w:t>stated</w:t>
      </w:r>
      <w:r w:rsidRPr="007C14D9">
        <w:t xml:space="preserve"> that some New Zealanders are not well served by existing banking products, and financial exclusion can have far reaching consequences for people’s lives.</w:t>
      </w:r>
      <w:r w:rsidRPr="007C14D9">
        <w:rPr>
          <w:rStyle w:val="FootnoteReference"/>
        </w:rPr>
        <w:footnoteReference w:id="27"/>
      </w:r>
      <w:r w:rsidRPr="007C14D9">
        <w:t xml:space="preserve"> </w:t>
      </w:r>
      <w:bookmarkStart w:id="14" w:name="_Hlk178208874"/>
      <w:r w:rsidRPr="007C14D9">
        <w:t>As a result, the Market Study recommended that “Industry should cooperate to make basic bank accounts widely available, including minimum standards, promotion among relevant population groups and ensuring frontline staff are appropriately trained and supported”(Recommendation 14).</w:t>
      </w:r>
      <w:r w:rsidRPr="007C14D9">
        <w:rPr>
          <w:rStyle w:val="FootnoteReference"/>
        </w:rPr>
        <w:footnoteReference w:id="28"/>
      </w:r>
      <w:r w:rsidRPr="007C14D9">
        <w:t xml:space="preserve">  As part of the recommendation, the Commission recommended </w:t>
      </w:r>
      <w:r w:rsidR="00E6245F">
        <w:t xml:space="preserve">that </w:t>
      </w:r>
      <w:r w:rsidRPr="007C14D9">
        <w:t xml:space="preserve">industry work closely with CoFR to leverage existing knowledge and ongoing research in this topic. </w:t>
      </w:r>
    </w:p>
    <w:p w14:paraId="26886CE3" w14:textId="77777777" w:rsidR="00492EA7" w:rsidRPr="006B361E" w:rsidRDefault="00492EA7" w:rsidP="006B361E">
      <w:pPr>
        <w:rPr>
          <w:rFonts w:ascii="Segoe UI Semilight" w:hAnsi="Segoe UI Semilight" w:cs="Segoe UI Semilight"/>
          <w:b/>
          <w:color w:val="6B2A7F" w:themeColor="accent1"/>
          <w:sz w:val="26"/>
          <w:szCs w:val="26"/>
        </w:rPr>
      </w:pPr>
      <w:r w:rsidRPr="006B361E">
        <w:rPr>
          <w:rFonts w:ascii="Segoe UI Semilight" w:hAnsi="Segoe UI Semilight" w:cs="Segoe UI Semilight"/>
          <w:b/>
          <w:color w:val="6B2A7F" w:themeColor="accent1"/>
          <w:sz w:val="26"/>
          <w:szCs w:val="26"/>
        </w:rPr>
        <w:t>This paper focuses on assessing the merits of basic transaction accounts</w:t>
      </w:r>
    </w:p>
    <w:p w14:paraId="5AC5F5F6" w14:textId="4A9BF96B" w:rsidR="00492EA7" w:rsidRPr="007C14D9" w:rsidRDefault="00492EA7" w:rsidP="00954C8C">
      <w:pPr>
        <w:spacing w:after="160"/>
      </w:pPr>
      <w:r>
        <w:t>The scope of this paper is limited to considering basic transaction accounts, based on the parameters of the Market Study</w:t>
      </w:r>
      <w:r w:rsidR="00622089">
        <w:t xml:space="preserve"> recommendation</w:t>
      </w:r>
      <w:r>
        <w:t>. This Issues Paper is not a first principles review of all policy options for improving access to transaction accounts. The scope is also limited to considering how</w:t>
      </w:r>
      <w:r w:rsidR="4BB1A2EB">
        <w:t xml:space="preserve"> we can </w:t>
      </w:r>
      <w:r>
        <w:t xml:space="preserve">help to improve </w:t>
      </w:r>
      <w:r w:rsidRPr="289F5A39">
        <w:rPr>
          <w:i/>
          <w:iCs/>
        </w:rPr>
        <w:t>the supply</w:t>
      </w:r>
      <w:r>
        <w:t xml:space="preserve"> of basic transaction accounts</w:t>
      </w:r>
      <w:r w:rsidR="4EF73C5D">
        <w:t xml:space="preserve"> </w:t>
      </w:r>
      <w:r>
        <w:t xml:space="preserve">with a focus on customer </w:t>
      </w:r>
      <w:r w:rsidR="00787FD1">
        <w:t>onboarding and</w:t>
      </w:r>
      <w:r>
        <w:t xml:space="preserve"> does not look at demand side factors (e.g. financial capability of potential customers</w:t>
      </w:r>
      <w:r w:rsidR="1C043159">
        <w:t xml:space="preserve"> or</w:t>
      </w:r>
      <w:r w:rsidR="7DF6B060">
        <w:t xml:space="preserve"> the ability of customers to get to a bank branch</w:t>
      </w:r>
      <w:r>
        <w:t xml:space="preserve">). The paper is divided into three sections: </w:t>
      </w:r>
    </w:p>
    <w:p w14:paraId="7779D2BA" w14:textId="34C70F30" w:rsidR="00492EA7" w:rsidRPr="007C14D9" w:rsidRDefault="00492EA7">
      <w:pPr>
        <w:pStyle w:val="ListNumber"/>
        <w:numPr>
          <w:ilvl w:val="0"/>
          <w:numId w:val="2"/>
        </w:numPr>
      </w:pPr>
      <w:r w:rsidRPr="000D4362">
        <w:rPr>
          <w:rStyle w:val="Emphasis"/>
        </w:rPr>
        <w:t>Current state:</w:t>
      </w:r>
      <w:r w:rsidRPr="008D1FB2">
        <w:rPr>
          <w:b/>
          <w:bCs/>
        </w:rPr>
        <w:t xml:space="preserve"> </w:t>
      </w:r>
      <w:r w:rsidRPr="007C14D9">
        <w:t xml:space="preserve">This section describes the current state of access to transaction accounts in </w:t>
      </w:r>
      <w:r w:rsidR="004A4E2A">
        <w:t xml:space="preserve">Aotearoa </w:t>
      </w:r>
      <w:r w:rsidRPr="007C14D9">
        <w:t xml:space="preserve">New Zealand, in order to define the main problem and policy objective. </w:t>
      </w:r>
    </w:p>
    <w:p w14:paraId="17962D26" w14:textId="0C39560F" w:rsidR="00492EA7" w:rsidRPr="007C14D9" w:rsidRDefault="00492EA7" w:rsidP="008D1FB2">
      <w:pPr>
        <w:pStyle w:val="ListNumber"/>
      </w:pPr>
      <w:r w:rsidRPr="000D4362">
        <w:rPr>
          <w:rStyle w:val="Emphasis"/>
        </w:rPr>
        <w:t xml:space="preserve">International </w:t>
      </w:r>
      <w:r w:rsidR="00D06A54" w:rsidRPr="000D4362">
        <w:rPr>
          <w:rStyle w:val="Emphasis"/>
        </w:rPr>
        <w:t>e</w:t>
      </w:r>
      <w:r w:rsidR="00CE6024">
        <w:rPr>
          <w:rStyle w:val="Emphasis"/>
        </w:rPr>
        <w:t>xperiences</w:t>
      </w:r>
      <w:r w:rsidRPr="000D4362">
        <w:rPr>
          <w:rStyle w:val="Emphasis"/>
        </w:rPr>
        <w:t>:</w:t>
      </w:r>
      <w:r w:rsidRPr="007C14D9">
        <w:t xml:space="preserve"> </w:t>
      </w:r>
      <w:r>
        <w:t>This section e</w:t>
      </w:r>
      <w:r w:rsidRPr="007C14D9">
        <w:t>xplore</w:t>
      </w:r>
      <w:r>
        <w:t>s</w:t>
      </w:r>
      <w:r w:rsidRPr="007C14D9">
        <w:t xml:space="preserve"> international practices to improve access to basic transaction accounts that meet the needs of underserved or excluded customers.</w:t>
      </w:r>
    </w:p>
    <w:p w14:paraId="774EBCC7" w14:textId="3E922EC1" w:rsidR="00492EA7" w:rsidRPr="007C14D9" w:rsidRDefault="00492EA7" w:rsidP="008D1FB2">
      <w:pPr>
        <w:pStyle w:val="ListNumber"/>
      </w:pPr>
      <w:r w:rsidRPr="000D4362">
        <w:rPr>
          <w:rStyle w:val="Emphasis"/>
        </w:rPr>
        <w:t>Pathways for action:</w:t>
      </w:r>
      <w:r w:rsidRPr="007C14D9">
        <w:t xml:space="preserve"> </w:t>
      </w:r>
      <w:r>
        <w:t xml:space="preserve">This section highlights </w:t>
      </w:r>
      <w:r w:rsidR="00C52122">
        <w:t>opportunities</w:t>
      </w:r>
      <w:r>
        <w:t xml:space="preserve"> to advance this issue, and the key areas where we are aiming to g</w:t>
      </w:r>
      <w:r w:rsidRPr="007C14D9">
        <w:t>ather feedback</w:t>
      </w:r>
      <w:r>
        <w:t xml:space="preserve"> from key stakeholders</w:t>
      </w:r>
      <w:r w:rsidRPr="007C14D9">
        <w:t xml:space="preserve">. </w:t>
      </w:r>
    </w:p>
    <w:p w14:paraId="675AD5BD" w14:textId="00C06645" w:rsidR="00492EA7" w:rsidRPr="007C14D9" w:rsidRDefault="00492EA7" w:rsidP="00954C8C">
      <w:pPr>
        <w:spacing w:after="160"/>
      </w:pPr>
      <w:r w:rsidRPr="007C14D9">
        <w:t xml:space="preserve">This paper </w:t>
      </w:r>
      <w:r w:rsidR="00B71F9F">
        <w:t xml:space="preserve">aims to </w:t>
      </w:r>
      <w:r w:rsidRPr="007C14D9">
        <w:t>bring together a clear description of the issues and potential pathways to improve access to basic transaction accounts, to support collaborative work from industry, regulators and community stakeholders.</w:t>
      </w:r>
    </w:p>
    <w:p w14:paraId="2CE1E040" w14:textId="3C372C5D" w:rsidR="000A2E02" w:rsidRPr="007C14D9" w:rsidRDefault="000A2E02" w:rsidP="008D1FB2">
      <w:pPr>
        <w:pStyle w:val="Heading1Numbered"/>
      </w:pPr>
      <w:bookmarkStart w:id="15" w:name="_Toc193437682"/>
      <w:bookmarkStart w:id="16" w:name="_Toc196208740"/>
      <w:bookmarkEnd w:id="14"/>
      <w:r w:rsidRPr="007C14D9">
        <w:lastRenderedPageBreak/>
        <w:t>The current state of access to transaction accounts</w:t>
      </w:r>
      <w:bookmarkEnd w:id="15"/>
      <w:bookmarkEnd w:id="16"/>
    </w:p>
    <w:p w14:paraId="61CE098A" w14:textId="5968B1B4" w:rsidR="000A2E02" w:rsidRPr="007C14D9" w:rsidRDefault="00897966" w:rsidP="008D1FB2">
      <w:r w:rsidRPr="00897966">
        <w:t>This section aims to provide a comprehensive analysis of the challenges surrounding</w:t>
      </w:r>
      <w:r w:rsidR="000A2E02" w:rsidRPr="007C14D9">
        <w:t xml:space="preserve"> access to transaction accounts, the underlying drivers of the issue, and why </w:t>
      </w:r>
      <w:r w:rsidRPr="00897966">
        <w:t xml:space="preserve">market </w:t>
      </w:r>
      <w:r w:rsidR="008044B5">
        <w:t xml:space="preserve">and regulatory </w:t>
      </w:r>
      <w:r w:rsidRPr="00897966">
        <w:t>forces</w:t>
      </w:r>
      <w:r w:rsidR="002C4DA7">
        <w:t xml:space="preserve"> </w:t>
      </w:r>
      <w:r w:rsidRPr="00897966">
        <w:t xml:space="preserve">have been insufficient in addressing </w:t>
      </w:r>
      <w:r w:rsidR="002C4DA7">
        <w:t xml:space="preserve">systematic issues associated with </w:t>
      </w:r>
      <w:r w:rsidR="00A11636">
        <w:t>access to banking so far.</w:t>
      </w:r>
      <w:r w:rsidR="000A2E02" w:rsidRPr="007C14D9">
        <w:t xml:space="preserve"> This section covers: </w:t>
      </w:r>
    </w:p>
    <w:p w14:paraId="3DCDF2B1" w14:textId="559CE8D5" w:rsidR="00B114DB" w:rsidRPr="00FB2AD0" w:rsidRDefault="00B114DB" w:rsidP="00517456">
      <w:pPr>
        <w:pStyle w:val="ListBullet"/>
      </w:pPr>
      <w:r w:rsidRPr="00FB2AD0">
        <w:fldChar w:fldCharType="begin"/>
      </w:r>
      <w:r w:rsidRPr="00FB2AD0">
        <w:instrText xml:space="preserve"> REF _Ref193451072 \h </w:instrText>
      </w:r>
      <w:r w:rsidR="00FB2AD0" w:rsidRPr="00FB2AD0">
        <w:instrText xml:space="preserve"> \* MERGEFORMAT </w:instrText>
      </w:r>
      <w:r w:rsidRPr="00FB2AD0">
        <w:fldChar w:fldCharType="separate"/>
      </w:r>
      <w:r w:rsidR="00DA348C" w:rsidRPr="00DA348C">
        <w:rPr>
          <w:rStyle w:val="Heading4Char"/>
          <w:rFonts w:asciiTheme="minorHAnsi" w:hAnsiTheme="minorHAnsi"/>
        </w:rPr>
        <w:t>Issues and friction points in opening transaction accounts</w:t>
      </w:r>
      <w:r w:rsidRPr="00FB2AD0">
        <w:fldChar w:fldCharType="end"/>
      </w:r>
    </w:p>
    <w:p w14:paraId="49B2E4D7" w14:textId="651018AD" w:rsidR="00051F65" w:rsidRPr="00FB2AD0" w:rsidRDefault="00FB2AD0" w:rsidP="00517456">
      <w:pPr>
        <w:pStyle w:val="ListBullet"/>
      </w:pPr>
      <w:r w:rsidRPr="00FB2AD0">
        <w:fldChar w:fldCharType="begin"/>
      </w:r>
      <w:r w:rsidRPr="00FB2AD0">
        <w:instrText xml:space="preserve"> REF _Ref193452964 \h  \* MERGEFORMAT </w:instrText>
      </w:r>
      <w:r w:rsidRPr="00FB2AD0">
        <w:fldChar w:fldCharType="separate"/>
      </w:r>
      <w:r w:rsidR="00DA348C" w:rsidRPr="00DA348C">
        <w:rPr>
          <w:rStyle w:val="Heading4Char"/>
          <w:rFonts w:asciiTheme="minorHAnsi" w:hAnsiTheme="minorHAnsi"/>
        </w:rPr>
        <w:t>The economics of transaction accounts</w:t>
      </w:r>
      <w:r w:rsidRPr="00FB2AD0">
        <w:fldChar w:fldCharType="end"/>
      </w:r>
    </w:p>
    <w:p w14:paraId="488F1557" w14:textId="50AD2E9F" w:rsidR="002C4DA7" w:rsidRPr="007C14D9" w:rsidRDefault="00FB2AD0" w:rsidP="00CB0156">
      <w:pPr>
        <w:pStyle w:val="ListBullet"/>
      </w:pPr>
      <w:r w:rsidRPr="00FB2AD0">
        <w:fldChar w:fldCharType="begin"/>
      </w:r>
      <w:r w:rsidRPr="00FB2AD0">
        <w:instrText xml:space="preserve"> REF _Ref193452969 \h  \* MERGEFORMAT </w:instrText>
      </w:r>
      <w:r w:rsidRPr="00FB2AD0">
        <w:fldChar w:fldCharType="separate"/>
      </w:r>
      <w:r w:rsidR="00DA348C" w:rsidRPr="00DA348C">
        <w:rPr>
          <w:rStyle w:val="Heading4Char"/>
          <w:rFonts w:asciiTheme="minorHAnsi" w:hAnsiTheme="minorHAnsi"/>
        </w:rPr>
        <w:t>Industry</w:t>
      </w:r>
      <w:r w:rsidR="00DA348C">
        <w:t xml:space="preserve"> perspectives</w:t>
      </w:r>
      <w:r w:rsidRPr="00FB2AD0">
        <w:fldChar w:fldCharType="end"/>
      </w:r>
    </w:p>
    <w:tbl>
      <w:tblPr>
        <w:tblStyle w:val="SectionSummary"/>
        <w:tblW w:w="0" w:type="auto"/>
        <w:tblLook w:val="0000" w:firstRow="0" w:lastRow="0" w:firstColumn="0" w:lastColumn="0" w:noHBand="0" w:noVBand="0"/>
      </w:tblPr>
      <w:tblGrid>
        <w:gridCol w:w="9070"/>
      </w:tblGrid>
      <w:tr w:rsidR="007D1D29" w14:paraId="7798A068" w14:textId="77777777" w:rsidTr="002C4DA7">
        <w:tc>
          <w:tcPr>
            <w:tcW w:w="9070" w:type="dxa"/>
          </w:tcPr>
          <w:p w14:paraId="0FCF5152" w14:textId="77777777" w:rsidR="007D1D29" w:rsidRPr="002C4DA7" w:rsidRDefault="007D1D29" w:rsidP="007D1D29">
            <w:pPr>
              <w:pStyle w:val="HighlightSectionCaseStudyHeading"/>
            </w:pPr>
            <w:r w:rsidRPr="002C4DA7">
              <w:t>Section summary</w:t>
            </w:r>
          </w:p>
          <w:p w14:paraId="1F6F7043" w14:textId="5D4A5FCD" w:rsidR="007D1D29" w:rsidRPr="00CB0156" w:rsidRDefault="007D1D29" w:rsidP="007D1D29">
            <w:pPr>
              <w:pStyle w:val="ListBullet"/>
            </w:pPr>
            <w:r w:rsidRPr="00CB0156">
              <w:t xml:space="preserve">The World Bank estimates that approximately 50,000 adults are financially excluded in </w:t>
            </w:r>
            <w:r w:rsidR="004A4E2A">
              <w:t xml:space="preserve">Aotearoa </w:t>
            </w:r>
            <w:r w:rsidRPr="00CB0156">
              <w:t>New Zealand. This is an increase in the unbanked population from 2014 and 2017, with the caveat that there is a significant degree of uncertainty due to the sample size and methodology applied in this survey.</w:t>
            </w:r>
          </w:p>
          <w:p w14:paraId="11327A08" w14:textId="4936D173" w:rsidR="007D1D29" w:rsidRPr="00CB0156" w:rsidRDefault="007D1D29" w:rsidP="007D1D29">
            <w:pPr>
              <w:pStyle w:val="ListBullet"/>
            </w:pPr>
            <w:r w:rsidRPr="00CB0156">
              <w:t xml:space="preserve">However, based on a wider set of quantitative and qualitative information (such as the </w:t>
            </w:r>
            <w:r w:rsidR="00A11636" w:rsidRPr="00CB0156">
              <w:t>First Steps to Financial Inclusion Report</w:t>
            </w:r>
            <w:r w:rsidRPr="00CB0156">
              <w:t xml:space="preserve"> 2025), we interpret that issues associated with opening transaction accounts are relatively common, which can have</w:t>
            </w:r>
            <w:r w:rsidR="00C251A5">
              <w:t xml:space="preserve"> a</w:t>
            </w:r>
            <w:r w:rsidRPr="00CB0156">
              <w:t xml:space="preserve"> significant impact on people in a variety of circumstances</w:t>
            </w:r>
            <w:r w:rsidR="00C251A5">
              <w:t>,</w:t>
            </w:r>
            <w:r w:rsidR="00640578">
              <w:t xml:space="preserve"> hindering</w:t>
            </w:r>
            <w:r w:rsidR="00640578" w:rsidRPr="004557EF">
              <w:t xml:space="preserve"> their ability to participate fully in the economy</w:t>
            </w:r>
            <w:r w:rsidR="00640578">
              <w:t xml:space="preserve"> and society.</w:t>
            </w:r>
          </w:p>
          <w:p w14:paraId="58804784" w14:textId="6644A259" w:rsidR="007D1D29" w:rsidRPr="00CB0156" w:rsidRDefault="007D1D29" w:rsidP="007D1D29">
            <w:pPr>
              <w:pStyle w:val="ListBullet"/>
            </w:pPr>
            <w:r w:rsidRPr="00CB0156">
              <w:t xml:space="preserve">Transaction accounts are being offered at a very low cost and no cost, but there are non-cost factors that are resulting in friction during customer onboarding. We find that the drivers of issues associated with opening transaction accounts are primarily related to </w:t>
            </w:r>
            <w:r w:rsidRPr="00CB0156" w:rsidDel="00DA7677">
              <w:t>the time, resources and perceived risks associated</w:t>
            </w:r>
            <w:r w:rsidR="00F513FE" w:rsidRPr="00CB0156">
              <w:t xml:space="preserve"> with </w:t>
            </w:r>
            <w:r w:rsidRPr="00CB0156">
              <w:t xml:space="preserve">CDD checks for customer onboarding. This friction is preventing some customers from accessing transaction accounts in an efficient manner or resulting in financial exclusion. </w:t>
            </w:r>
          </w:p>
          <w:p w14:paraId="38417C4C" w14:textId="77777777" w:rsidR="007D1D29" w:rsidRPr="00CB0156" w:rsidRDefault="007D1D29" w:rsidP="007D1D29">
            <w:pPr>
              <w:pStyle w:val="ListBullet"/>
            </w:pPr>
            <w:r w:rsidRPr="00CB0156">
              <w:t xml:space="preserve">We interpret that a market and regulatory failure could persist if there is an ongoing mismatch between commercial incentives </w:t>
            </w:r>
            <w:r w:rsidR="00ED7141" w:rsidRPr="00CB0156">
              <w:t xml:space="preserve">for onboarding customers </w:t>
            </w:r>
            <w:r w:rsidRPr="00CB0156">
              <w:t xml:space="preserve">(risk vs reward), and wider societal benefits of having widespread access to transaction accounts.  </w:t>
            </w:r>
          </w:p>
          <w:p w14:paraId="5A94CEF9" w14:textId="77777777" w:rsidR="002C4DA7" w:rsidRPr="00CB0156" w:rsidRDefault="002C4DA7" w:rsidP="002C4DA7">
            <w:pPr>
              <w:pStyle w:val="ListBullet"/>
            </w:pPr>
            <w:r w:rsidRPr="00CB0156">
              <w:t xml:space="preserve">Some banks have indicated that they are unlikely to solve access to banking issues by themselves without support or clarity on how basic transaction accounts could align with regulatory expectations, or transparency in measuring industry-wide efforts over time. </w:t>
            </w:r>
          </w:p>
          <w:p w14:paraId="0BC3F4F2" w14:textId="19D5186D" w:rsidR="002C4DA7" w:rsidRDefault="002C4DA7" w:rsidP="002C4DA7">
            <w:pPr>
              <w:pStyle w:val="ListBullet"/>
            </w:pPr>
            <w:r w:rsidRPr="00CB0156">
              <w:t>There may be shared opportunities for financial regulators and the deposit-taking sector to contribute to removing unnecessary barriers for the provision of basic transaction accounts, to support reasonable access to products and services that meet the needs of underserved communities.</w:t>
            </w:r>
          </w:p>
        </w:tc>
      </w:tr>
    </w:tbl>
    <w:p w14:paraId="376E0D75" w14:textId="77777777" w:rsidR="007D1D29" w:rsidRDefault="007D1D29" w:rsidP="007D1D29">
      <w:pPr>
        <w:pStyle w:val="ListBullet"/>
        <w:numPr>
          <w:ilvl w:val="0"/>
          <w:numId w:val="0"/>
        </w:numPr>
      </w:pPr>
    </w:p>
    <w:p w14:paraId="5D7CB492" w14:textId="3CB6CB69" w:rsidR="007C14D9" w:rsidRPr="00FB2AD0" w:rsidRDefault="007C14D9" w:rsidP="00FB2AD0">
      <w:pPr>
        <w:pStyle w:val="Heading2Numbered"/>
      </w:pPr>
      <w:bookmarkStart w:id="17" w:name="_Toc193437683"/>
      <w:bookmarkStart w:id="18" w:name="_Ref193451067"/>
      <w:bookmarkStart w:id="19" w:name="_Ref193451072"/>
      <w:bookmarkStart w:id="20" w:name="_Toc196208741"/>
      <w:r w:rsidRPr="00FB2AD0">
        <w:lastRenderedPageBreak/>
        <w:t xml:space="preserve">Issues and friction points in </w:t>
      </w:r>
      <w:r w:rsidR="002A0167" w:rsidRPr="00FB2AD0">
        <w:t>opening transaction accounts</w:t>
      </w:r>
      <w:bookmarkEnd w:id="17"/>
      <w:bookmarkEnd w:id="18"/>
      <w:bookmarkEnd w:id="19"/>
      <w:bookmarkEnd w:id="20"/>
      <w:r w:rsidRPr="00FB2AD0">
        <w:t xml:space="preserve"> </w:t>
      </w:r>
    </w:p>
    <w:p w14:paraId="00BD4DE2" w14:textId="49F41743" w:rsidR="002A0167" w:rsidRDefault="002A0167" w:rsidP="00B114DB">
      <w:pPr>
        <w:pStyle w:val="Heading3"/>
      </w:pPr>
      <w:r w:rsidRPr="00981A2E">
        <w:t xml:space="preserve">Transaction accounts </w:t>
      </w:r>
      <w:r w:rsidR="009C40F9">
        <w:t>are</w:t>
      </w:r>
      <w:r w:rsidR="009C40F9" w:rsidRPr="00981A2E">
        <w:t xml:space="preserve"> </w:t>
      </w:r>
      <w:r w:rsidRPr="00981A2E">
        <w:t xml:space="preserve">an essential utility provided by deposit takers </w:t>
      </w:r>
    </w:p>
    <w:p w14:paraId="5B287B2C" w14:textId="314B3FEA" w:rsidR="001829F1" w:rsidRDefault="002A0167" w:rsidP="00B114DB">
      <w:r w:rsidRPr="00981A2E">
        <w:t>Transaction accounts (also known as bank accounts or payment accounts) enable people and entities to conduct their day-to-day banking needs such as depositing cash, making payments and receiving money. Opening a transaction account is often a customer’s first interaction with the financial system and can support progression for people to other financial products and services over time (for example, savings, investments, credit and insurance). Deposit takers have a range of initiatives underway to promote accessible banking services.</w:t>
      </w:r>
      <w:r w:rsidRPr="00492EA7">
        <w:rPr>
          <w:rStyle w:val="FootnoteReference"/>
          <w:color w:val="000000" w:themeColor="text1"/>
        </w:rPr>
        <w:footnoteReference w:id="29"/>
      </w:r>
      <w:r w:rsidR="001829F1">
        <w:t xml:space="preserve"> CoFR h</w:t>
      </w:r>
      <w:r w:rsidR="2BA82F29">
        <w:t xml:space="preserve">as </w:t>
      </w:r>
      <w:r w:rsidR="001829F1">
        <w:t xml:space="preserve">explored the size of the population who do not have a transaction account. </w:t>
      </w:r>
    </w:p>
    <w:p w14:paraId="7527F426" w14:textId="3540B079" w:rsidR="001829F1" w:rsidRPr="001829F1" w:rsidRDefault="001829F1" w:rsidP="00B114DB">
      <w:pPr>
        <w:pStyle w:val="Heading3"/>
      </w:pPr>
      <w:r w:rsidRPr="001829F1">
        <w:t>The number of people in New Zealand who do not have a transaction</w:t>
      </w:r>
      <w:r>
        <w:t xml:space="preserve"> </w:t>
      </w:r>
      <w:r w:rsidRPr="001829F1">
        <w:t xml:space="preserve">account </w:t>
      </w:r>
    </w:p>
    <w:p w14:paraId="014C528A" w14:textId="0E2944C5" w:rsidR="001829F1" w:rsidRDefault="001829F1" w:rsidP="00B114DB">
      <w:bookmarkStart w:id="21" w:name="_Hlk180658728"/>
      <w:r>
        <w:t xml:space="preserve">There are various estimates of the unbanked population. </w:t>
      </w:r>
      <w:r w:rsidR="00923D85" w:rsidRPr="00C251A5">
        <w:rPr>
          <w:b/>
          <w:bCs/>
        </w:rPr>
        <w:t xml:space="preserve">Figure </w:t>
      </w:r>
      <w:r w:rsidR="00C251A5" w:rsidRPr="00C251A5">
        <w:rPr>
          <w:b/>
          <w:bCs/>
        </w:rPr>
        <w:t>1</w:t>
      </w:r>
      <w:r w:rsidR="00923D85">
        <w:t xml:space="preserve"> below </w:t>
      </w:r>
      <w:r w:rsidR="00AE673A">
        <w:t xml:space="preserve">outlies </w:t>
      </w:r>
      <w:r w:rsidRPr="00492EA7">
        <w:t xml:space="preserve">World Bank’s </w:t>
      </w:r>
      <w:r w:rsidR="00B04ED6">
        <w:t xml:space="preserve">Global </w:t>
      </w:r>
      <w:r w:rsidRPr="00492EA7">
        <w:t>Findex</w:t>
      </w:r>
      <w:r w:rsidR="00B04ED6">
        <w:t xml:space="preserve"> 2021</w:t>
      </w:r>
      <w:r w:rsidRPr="00492EA7">
        <w:t xml:space="preserve"> </w:t>
      </w:r>
      <w:r w:rsidR="00AE673A">
        <w:t>data</w:t>
      </w:r>
      <w:r w:rsidRPr="00492EA7">
        <w:t xml:space="preserve"> that 1.</w:t>
      </w:r>
      <w:r w:rsidR="00517713">
        <w:t>3</w:t>
      </w:r>
      <w:r w:rsidRPr="00492EA7">
        <w:t xml:space="preserve">% of New Zealanders (who are at least 15 years old) did not have a financial institution account, or approximately 50,000 adults. </w:t>
      </w:r>
      <w:r w:rsidR="00B04ED6" w:rsidRPr="00B04ED6">
        <w:t xml:space="preserve">This figure </w:t>
      </w:r>
      <w:r w:rsidR="00D3668B">
        <w:t xml:space="preserve">is an increase </w:t>
      </w:r>
      <w:r w:rsidR="00B04ED6" w:rsidRPr="00B04ED6">
        <w:t>from 0.</w:t>
      </w:r>
      <w:r w:rsidR="00517713">
        <w:t>5</w:t>
      </w:r>
      <w:r w:rsidR="00B04ED6" w:rsidRPr="00B04ED6">
        <w:t>% in 2014 and 0.8% in 2017</w:t>
      </w:r>
      <w:r w:rsidRPr="00492EA7">
        <w:t>.</w:t>
      </w:r>
      <w:r w:rsidRPr="00492EA7">
        <w:rPr>
          <w:rStyle w:val="FootnoteReference"/>
        </w:rPr>
        <w:footnoteReference w:id="30"/>
      </w:r>
      <w:r w:rsidRPr="00492EA7">
        <w:t xml:space="preserve">  </w:t>
      </w:r>
    </w:p>
    <w:p w14:paraId="1ECBCBAD" w14:textId="5431B814" w:rsidR="00B114DB" w:rsidRDefault="00B114DB" w:rsidP="00B114DB">
      <w:pPr>
        <w:pStyle w:val="Caption"/>
      </w:pPr>
      <w:bookmarkStart w:id="22" w:name="_Toc195096947"/>
      <w:bookmarkEnd w:id="21"/>
      <w:r>
        <w:t xml:space="preserve">Figure </w:t>
      </w:r>
      <w:r>
        <w:fldChar w:fldCharType="begin"/>
      </w:r>
      <w:r>
        <w:instrText xml:space="preserve"> SEQ Figure \* ARABIC </w:instrText>
      </w:r>
      <w:r>
        <w:fldChar w:fldCharType="separate"/>
      </w:r>
      <w:r w:rsidR="00DA348C">
        <w:rPr>
          <w:noProof/>
        </w:rPr>
        <w:t>1</w:t>
      </w:r>
      <w:r>
        <w:rPr>
          <w:noProof/>
        </w:rPr>
        <w:fldChar w:fldCharType="end"/>
      </w:r>
      <w:r>
        <w:t xml:space="preserve">: </w:t>
      </w:r>
      <w:r w:rsidRPr="00560E95">
        <w:t>Size of the unbanked adult population in NZ</w:t>
      </w:r>
      <w:bookmarkEnd w:id="22"/>
    </w:p>
    <w:p w14:paraId="68073041" w14:textId="72B2E640" w:rsidR="001829F1" w:rsidRPr="00492EA7" w:rsidRDefault="00DE2B3D" w:rsidP="00B114DB">
      <w:r w:rsidRPr="00492EA7">
        <w:rPr>
          <w:noProof/>
          <w:color w:val="6B2A7F" w:themeColor="accent1"/>
        </w:rPr>
        <w:drawing>
          <wp:inline distT="0" distB="0" distL="0" distR="0" wp14:anchorId="75EA6AEA" wp14:editId="09664071">
            <wp:extent cx="4850296" cy="2528515"/>
            <wp:effectExtent l="0" t="0" r="7620" b="5715"/>
            <wp:docPr id="252001605" name="Chart 1">
              <a:extLst xmlns:a="http://schemas.openxmlformats.org/drawingml/2006/main">
                <a:ext uri="{FF2B5EF4-FFF2-40B4-BE49-F238E27FC236}">
                  <a16:creationId xmlns:a16="http://schemas.microsoft.com/office/drawing/2014/main" id="{FE6CA683-16AB-7FD1-9150-F76DDAA97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D30953" w14:textId="296065DA" w:rsidR="001829F1" w:rsidRPr="00B114DB" w:rsidRDefault="00D75763" w:rsidP="00B114DB">
      <w:pPr>
        <w:pStyle w:val="Source"/>
      </w:pPr>
      <w:r>
        <w:rPr>
          <w:noProof/>
        </w:rPr>
        <mc:AlternateContent>
          <mc:Choice Requires="wps">
            <w:drawing>
              <wp:anchor distT="45720" distB="45720" distL="114300" distR="114300" simplePos="0" relativeHeight="251660289" behindDoc="0" locked="0" layoutInCell="1" allowOverlap="1" wp14:anchorId="723E7692" wp14:editId="1A4D2095">
                <wp:simplePos x="0" y="0"/>
                <wp:positionH relativeFrom="margin">
                  <wp:align>right</wp:align>
                </wp:positionH>
                <wp:positionV relativeFrom="paragraph">
                  <wp:posOffset>258114</wp:posOffset>
                </wp:positionV>
                <wp:extent cx="5748655" cy="747395"/>
                <wp:effectExtent l="0" t="0" r="2349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747422"/>
                        </a:xfrm>
                        <a:prstGeom prst="rect">
                          <a:avLst/>
                        </a:prstGeom>
                        <a:solidFill>
                          <a:schemeClr val="bg1">
                            <a:lumMod val="95000"/>
                          </a:schemeClr>
                        </a:solidFill>
                        <a:ln w="9525">
                          <a:solidFill>
                            <a:srgbClr val="000000"/>
                          </a:solidFill>
                          <a:miter lim="800000"/>
                          <a:headEnd/>
                          <a:tailEnd/>
                        </a:ln>
                      </wps:spPr>
                      <wps:txbx>
                        <w:txbxContent>
                          <w:p w14:paraId="48277EED" w14:textId="071909AC" w:rsidR="00D75763" w:rsidRPr="00D75763" w:rsidRDefault="00D75763">
                            <w:r w:rsidRPr="00D75763">
                              <w:rPr>
                                <w:b/>
                                <w:bCs/>
                              </w:rPr>
                              <w:t>Figure 1 chart text alternative</w:t>
                            </w:r>
                            <w:r w:rsidRPr="00D75763">
                              <w:t>: This chart shows the size of the unbanked population in Aote</w:t>
                            </w:r>
                            <w:r>
                              <w:t>a</w:t>
                            </w:r>
                            <w:r w:rsidRPr="00D75763">
                              <w:t>roa New Zealand</w:t>
                            </w:r>
                            <w:r>
                              <w:t xml:space="preserve">, with the trend line showing a gradual shift upwards in unbanked adults since 2014.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E7692" id="_x0000_t202" coordsize="21600,21600" o:spt="202" path="m,l,21600r21600,l21600,xe">
                <v:stroke joinstyle="miter"/>
                <v:path gradientshapeok="t" o:connecttype="rect"/>
              </v:shapetype>
              <v:shape id="Text Box 2" o:spid="_x0000_s1026" type="#_x0000_t202" style="position:absolute;margin-left:401.45pt;margin-top:20.3pt;width:452.65pt;height:58.85pt;z-index:25166028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" fillcolor="#f2f2f2 [3052]">
                <v:textbox>
                  <w:txbxContent>
                    <w:p w14:paraId="48277EED" w14:textId="071909AC" w:rsidR="00D75763" w:rsidRPr="00D75763" w:rsidRDefault="00D75763">
                      <w:r w:rsidRPr="00D75763">
                        <w:rPr>
                          <w:b/>
                          <w:bCs/>
                        </w:rPr>
                        <w:t>Figure 1 chart text alternative</w:t>
                      </w:r>
                      <w:r w:rsidRPr="00D75763">
                        <w:t>: This chart shows the size of the unbanked population in Aote</w:t>
                      </w:r>
                      <w:r>
                        <w:t>a</w:t>
                      </w:r>
                      <w:r w:rsidRPr="00D75763">
                        <w:t>roa New Zealand</w:t>
                      </w:r>
                      <w:r>
                        <w:t xml:space="preserve">, with the trend line showing a gradual shift upwards in unbanked adults since 2014. </w:t>
                      </w:r>
                    </w:p>
                  </w:txbxContent>
                </v:textbox>
                <w10:wrap type="square" anchorx="margin"/>
              </v:shape>
            </w:pict>
          </mc:Fallback>
        </mc:AlternateContent>
      </w:r>
      <w:r w:rsidR="001829F1" w:rsidRPr="00B114DB">
        <w:t>Source: World Bank Global Findex Database.</w:t>
      </w:r>
    </w:p>
    <w:p w14:paraId="1919A70C" w14:textId="383CD31C" w:rsidR="001829F1" w:rsidRDefault="001829F1" w:rsidP="007031DD">
      <w:r w:rsidRPr="007C33B4">
        <w:t xml:space="preserve">The </w:t>
      </w:r>
      <w:r w:rsidR="6DC85651">
        <w:t xml:space="preserve">2024 </w:t>
      </w:r>
      <w:r w:rsidRPr="007C33B4">
        <w:t xml:space="preserve">FMA Consumer </w:t>
      </w:r>
      <w:r w:rsidR="34253227">
        <w:t>Confidence Survey</w:t>
      </w:r>
      <w:r w:rsidRPr="007C33B4">
        <w:t xml:space="preserve"> found that approximately </w:t>
      </w:r>
      <w:r w:rsidR="000C5BAC" w:rsidRPr="007C33B4">
        <w:t>3</w:t>
      </w:r>
      <w:r w:rsidR="34253227">
        <w:t>.0</w:t>
      </w:r>
      <w:r w:rsidRPr="007C33B4">
        <w:t xml:space="preserve">% of adults in </w:t>
      </w:r>
      <w:r w:rsidR="004A4E2A">
        <w:t xml:space="preserve">Aotearoa </w:t>
      </w:r>
      <w:r w:rsidRPr="007C33B4">
        <w:t>New Zealand (18 and over) d</w:t>
      </w:r>
      <w:r w:rsidR="000C5BAC" w:rsidRPr="007C33B4">
        <w:t>id not have any type of deposit accoun</w:t>
      </w:r>
      <w:r w:rsidR="00640578">
        <w:t>t</w:t>
      </w:r>
      <w:r w:rsidRPr="007C33B4">
        <w:t>.</w:t>
      </w:r>
      <w:r w:rsidRPr="007C33B4">
        <w:rPr>
          <w:rStyle w:val="FootnoteReference"/>
        </w:rPr>
        <w:footnoteReference w:id="31"/>
      </w:r>
      <w:r w:rsidRPr="007C33B4">
        <w:t xml:space="preserve"> In addition, </w:t>
      </w:r>
      <w:r w:rsidR="00461738" w:rsidRPr="007C33B4">
        <w:t>one third</w:t>
      </w:r>
      <w:r w:rsidRPr="007C33B4">
        <w:t xml:space="preserve"> of young people using the MyMahi Education Platform reported not having a transaction account in a 2023 survey (based on </w:t>
      </w:r>
      <w:r w:rsidR="5DF6BE17" w:rsidRPr="007C33B4">
        <w:t>1</w:t>
      </w:r>
      <w:r w:rsidR="34253227">
        <w:t>,</w:t>
      </w:r>
      <w:r w:rsidR="5DF6BE17" w:rsidRPr="007C33B4">
        <w:t>027</w:t>
      </w:r>
      <w:r w:rsidRPr="007C33B4">
        <w:t xml:space="preserve"> respondents), </w:t>
      </w:r>
      <w:r w:rsidR="00025F86" w:rsidRPr="007C33B4">
        <w:t>suggesting</w:t>
      </w:r>
      <w:r w:rsidRPr="007C33B4">
        <w:t xml:space="preserve"> that this issue </w:t>
      </w:r>
      <w:r w:rsidR="006728A7" w:rsidRPr="007C33B4">
        <w:lastRenderedPageBreak/>
        <w:t>may b</w:t>
      </w:r>
      <w:r w:rsidRPr="007C33B4">
        <w:t xml:space="preserve">e felt sharply by </w:t>
      </w:r>
      <w:r w:rsidR="00F21653">
        <w:t>younger</w:t>
      </w:r>
      <w:r w:rsidRPr="007C33B4">
        <w:t xml:space="preserve"> customer segments or those who are </w:t>
      </w:r>
      <w:r w:rsidR="00F21653">
        <w:t xml:space="preserve">attempting to </w:t>
      </w:r>
      <w:r w:rsidRPr="007C33B4">
        <w:t>open an account for the first time.</w:t>
      </w:r>
      <w:r w:rsidRPr="007C33B4">
        <w:rPr>
          <w:rStyle w:val="FootnoteReference"/>
        </w:rPr>
        <w:footnoteReference w:id="32"/>
      </w:r>
      <w:r w:rsidRPr="007C33B4">
        <w:t xml:space="preserve"> </w:t>
      </w:r>
      <w:r w:rsidR="00931FFB" w:rsidRPr="007C33B4">
        <w:t>It is worth noting that e</w:t>
      </w:r>
      <w:r w:rsidRPr="007C33B4">
        <w:t>ach of the demand side surveys and estimates</w:t>
      </w:r>
      <w:r w:rsidRPr="00492EA7">
        <w:t xml:space="preserve"> </w:t>
      </w:r>
      <w:r w:rsidR="00FC14FB">
        <w:t>outline</w:t>
      </w:r>
      <w:r w:rsidR="00F21653">
        <w:t>d</w:t>
      </w:r>
      <w:r w:rsidR="00FC14FB">
        <w:t xml:space="preserve"> </w:t>
      </w:r>
      <w:r w:rsidRPr="00492EA7">
        <w:t xml:space="preserve">in this paper </w:t>
      </w:r>
      <w:r w:rsidR="002C4DA7">
        <w:t xml:space="preserve">can </w:t>
      </w:r>
      <w:r w:rsidR="00FC14FB">
        <w:t>have</w:t>
      </w:r>
      <w:r w:rsidRPr="00492EA7">
        <w:t xml:space="preserve"> limitations and levels of uncertainty, depending on the sampling techniques. RBNZ has a project underway to improve measurement on access to banking </w:t>
      </w:r>
      <w:r w:rsidR="0002342F" w:rsidRPr="00492EA7">
        <w:t>issues</w:t>
      </w:r>
      <w:r w:rsidR="0002342F">
        <w:t xml:space="preserve"> and</w:t>
      </w:r>
      <w:r w:rsidRPr="00492EA7">
        <w:t xml:space="preserve"> expect to release a snapshot into levels of financial inclusion</w:t>
      </w:r>
      <w:r w:rsidR="002C4DA7">
        <w:t xml:space="preserve"> </w:t>
      </w:r>
      <w:r w:rsidRPr="00492EA7">
        <w:t>in</w:t>
      </w:r>
      <w:r w:rsidR="00C75062">
        <w:t xml:space="preserve"> </w:t>
      </w:r>
      <w:r w:rsidRPr="00492EA7">
        <w:t>2025 based on an initial set of indicators.</w:t>
      </w:r>
      <w:r>
        <w:t xml:space="preserve"> </w:t>
      </w:r>
    </w:p>
    <w:p w14:paraId="1931EA1B" w14:textId="72308CB8" w:rsidR="001829F1" w:rsidRPr="006728A7" w:rsidRDefault="006728A7" w:rsidP="00B114DB">
      <w:pPr>
        <w:pStyle w:val="Heading3"/>
      </w:pPr>
      <w:r w:rsidRPr="006728A7">
        <w:t>We have explored the barriers that impact access to transaction accounts</w:t>
      </w:r>
    </w:p>
    <w:p w14:paraId="653E27FC" w14:textId="33CB84DF" w:rsidR="006728A7" w:rsidRDefault="00585A45" w:rsidP="00954C8C">
      <w:r w:rsidRPr="00492EA7">
        <w:t xml:space="preserve">There are a range of </w:t>
      </w:r>
      <w:r>
        <w:t xml:space="preserve">potential </w:t>
      </w:r>
      <w:r w:rsidRPr="00492EA7">
        <w:t xml:space="preserve">barriers that </w:t>
      </w:r>
      <w:r>
        <w:t xml:space="preserve">may </w:t>
      </w:r>
      <w:r w:rsidRPr="00492EA7">
        <w:t>prevent people from opening transaction account</w:t>
      </w:r>
      <w:r>
        <w:t>s</w:t>
      </w:r>
      <w:r w:rsidRPr="00492EA7">
        <w:t>, including both supply side</w:t>
      </w:r>
      <w:r w:rsidR="00025F86">
        <w:t xml:space="preserve"> factors</w:t>
      </w:r>
      <w:r w:rsidRPr="00492EA7">
        <w:t xml:space="preserve"> </w:t>
      </w:r>
      <w:r>
        <w:t xml:space="preserve">(related to financial providers) </w:t>
      </w:r>
      <w:r w:rsidRPr="00492EA7">
        <w:t>and demand side factors</w:t>
      </w:r>
      <w:r>
        <w:t xml:space="preserve"> (related to customers)</w:t>
      </w:r>
      <w:r w:rsidRPr="00492EA7">
        <w:t>. On the supply side, there can be barriers relate</w:t>
      </w:r>
      <w:r w:rsidR="00025F86">
        <w:t>d</w:t>
      </w:r>
      <w:r w:rsidRPr="00492EA7">
        <w:t xml:space="preserve"> to branch hours, physical accessibility issues, eligibility criteria</w:t>
      </w:r>
      <w:r w:rsidR="00025F86">
        <w:t>,</w:t>
      </w:r>
      <w:r w:rsidRPr="00492EA7">
        <w:t xml:space="preserve"> an</w:t>
      </w:r>
      <w:r>
        <w:t>d</w:t>
      </w:r>
      <w:r w:rsidRPr="00492EA7">
        <w:t xml:space="preserve"> customer onboarding requirements</w:t>
      </w:r>
      <w:r w:rsidR="00025F86">
        <w:t xml:space="preserve"> that impact access to transaction accounts</w:t>
      </w:r>
      <w:r w:rsidRPr="00492EA7">
        <w:t>.</w:t>
      </w:r>
      <w:r w:rsidR="009C40F9">
        <w:rPr>
          <w:rStyle w:val="FootnoteReference"/>
        </w:rPr>
        <w:footnoteReference w:id="33"/>
      </w:r>
      <w:r w:rsidRPr="00492EA7">
        <w:t xml:space="preserve"> On the demand side, the characteristics and circumstances of potential customers can also </w:t>
      </w:r>
      <w:r>
        <w:t>cause friction</w:t>
      </w:r>
      <w:r w:rsidR="00025F86">
        <w:t>,</w:t>
      </w:r>
      <w:r w:rsidRPr="00492EA7">
        <w:t xml:space="preserve"> such as the</w:t>
      </w:r>
      <w:r>
        <w:t xml:space="preserve"> </w:t>
      </w:r>
      <w:r w:rsidRPr="00492EA7">
        <w:t xml:space="preserve">ability </w:t>
      </w:r>
      <w:r>
        <w:t xml:space="preserve">of customers </w:t>
      </w:r>
      <w:r w:rsidRPr="00492EA7">
        <w:t>to take time off work to go into</w:t>
      </w:r>
      <w:r>
        <w:t xml:space="preserve"> a bank b</w:t>
      </w:r>
      <w:r w:rsidRPr="00492EA7">
        <w:t xml:space="preserve">ranch, varying levels of confidence and capability with financial matters, </w:t>
      </w:r>
      <w:r w:rsidR="00E507C1">
        <w:t xml:space="preserve">access to documents, </w:t>
      </w:r>
      <w:r w:rsidRPr="00492EA7">
        <w:t>and whether people are able to navigate digital platforms such as banking applications.</w:t>
      </w:r>
      <w:r w:rsidR="00E754A1">
        <w:rPr>
          <w:rStyle w:val="FootnoteReference"/>
        </w:rPr>
        <w:footnoteReference w:id="34"/>
      </w:r>
      <w:r w:rsidRPr="00492EA7">
        <w:t xml:space="preserve"> </w:t>
      </w:r>
      <w:r>
        <w:t xml:space="preserve">We have undertaken further analysis to understand </w:t>
      </w:r>
      <w:r w:rsidR="00125AC1">
        <w:t xml:space="preserve">the barriers </w:t>
      </w:r>
      <w:r w:rsidR="00032039">
        <w:t>that</w:t>
      </w:r>
      <w:r w:rsidR="00E754A1">
        <w:t xml:space="preserve"> </w:t>
      </w:r>
      <w:r w:rsidR="00125AC1">
        <w:t xml:space="preserve">play a </w:t>
      </w:r>
      <w:r w:rsidR="00032039">
        <w:t xml:space="preserve">significant </w:t>
      </w:r>
      <w:r w:rsidR="00125AC1">
        <w:t xml:space="preserve">role in constraining </w:t>
      </w:r>
      <w:r w:rsidR="00032039">
        <w:t xml:space="preserve">access to transaction accounts in NZ. </w:t>
      </w:r>
    </w:p>
    <w:p w14:paraId="521FC242" w14:textId="2BD8A074" w:rsidR="005E0659" w:rsidRPr="002A0167" w:rsidRDefault="005E0659" w:rsidP="00B114DB">
      <w:pPr>
        <w:pStyle w:val="Heading3"/>
      </w:pPr>
      <w:r w:rsidRPr="002A0167">
        <w:t>Cost does not appear to be a</w:t>
      </w:r>
      <w:r w:rsidR="00B41687">
        <w:t xml:space="preserve"> </w:t>
      </w:r>
      <w:r w:rsidRPr="002A0167">
        <w:t xml:space="preserve">factor </w:t>
      </w:r>
      <w:r>
        <w:t>constraining access to transaction accounts</w:t>
      </w:r>
    </w:p>
    <w:p w14:paraId="276C4D52" w14:textId="4CD132F5" w:rsidR="005E0659" w:rsidRDefault="005E0659" w:rsidP="002A1751">
      <w:r>
        <w:t>As part of the Financial Inclusion Thematic Review (the Thematic Review), RBNZ gained insights on the transaction accounts offered by 20 deposit takers ranging from large banks to smaller non-bank deposit takers.</w:t>
      </w:r>
      <w:r>
        <w:rPr>
          <w:rStyle w:val="FootnoteReference"/>
          <w:color w:val="000000" w:themeColor="text1"/>
        </w:rPr>
        <w:footnoteReference w:id="35"/>
      </w:r>
      <w:r>
        <w:t xml:space="preserve"> The Thematic Review found that </w:t>
      </w:r>
      <w:r w:rsidR="009B06D6">
        <w:t>a</w:t>
      </w:r>
      <w:r>
        <w:t>pproximately a third of participating deposit takers offered transactional accounts with no transaction fees, with the remainder offering relatively low fee accounts, and a</w:t>
      </w:r>
      <w:r w:rsidRPr="000C00CD">
        <w:t xml:space="preserve">lmost all </w:t>
      </w:r>
      <w:r>
        <w:t xml:space="preserve">participating </w:t>
      </w:r>
      <w:r w:rsidRPr="000C00CD">
        <w:t>deposit takers</w:t>
      </w:r>
      <w:r w:rsidR="002C4DA7">
        <w:t xml:space="preserve"> did</w:t>
      </w:r>
      <w:r w:rsidRPr="000C00CD">
        <w:t xml:space="preserve"> not requir</w:t>
      </w:r>
      <w:r w:rsidR="002C4DA7">
        <w:t>e</w:t>
      </w:r>
      <w:r w:rsidRPr="000C00CD">
        <w:t xml:space="preserve"> a minimum opening balance for transaction accounts</w:t>
      </w:r>
      <w:r>
        <w:t>.</w:t>
      </w:r>
    </w:p>
    <w:p w14:paraId="00DF197C" w14:textId="76207248" w:rsidR="005E0659" w:rsidRDefault="009E0B75" w:rsidP="002A1751">
      <w:r>
        <w:t>F</w:t>
      </w:r>
      <w:r w:rsidR="005E0659">
        <w:t xml:space="preserve">indings from the Thematic Review suggest </w:t>
      </w:r>
      <w:r w:rsidR="005E0659" w:rsidRPr="00981A2E">
        <w:t>that</w:t>
      </w:r>
      <w:r w:rsidR="005E0659">
        <w:t xml:space="preserve"> cost barriers (e.g. </w:t>
      </w:r>
      <w:r w:rsidR="005E0659" w:rsidRPr="002A0167">
        <w:t>meet</w:t>
      </w:r>
      <w:r w:rsidR="005E0659">
        <w:t>ing</w:t>
      </w:r>
      <w:r w:rsidR="005E0659" w:rsidRPr="002A0167">
        <w:t xml:space="preserve"> minimum balance requirements and high or unpredictable fees</w:t>
      </w:r>
      <w:r w:rsidR="005E0659">
        <w:t xml:space="preserve">) are not a significant barrier that can impact customer onboarding and the ability of customers to open transaction accounts. More often, deposit takers reported that barriers can arise </w:t>
      </w:r>
      <w:r w:rsidR="00A01C71">
        <w:t xml:space="preserve">due </w:t>
      </w:r>
      <w:r w:rsidR="005E0659">
        <w:t>to the amount of information needed to satisfy customer onboarding requirements. Our discussions with deposit</w:t>
      </w:r>
      <w:r w:rsidR="00D07FB4">
        <w:t>-</w:t>
      </w:r>
      <w:r w:rsidR="005E0659">
        <w:t xml:space="preserve">taking entities as part of the Thematic Review pointed to customer onboarding requirements being a significant </w:t>
      </w:r>
      <w:r w:rsidR="00025F86">
        <w:t>barrier</w:t>
      </w:r>
      <w:r w:rsidR="005E0659">
        <w:t xml:space="preserve"> that can impact access to transaction accounts, highlighting </w:t>
      </w:r>
      <w:r w:rsidR="00025F86">
        <w:t>the</w:t>
      </w:r>
      <w:r w:rsidR="005E0659">
        <w:t xml:space="preserve"> need for further exploration into </w:t>
      </w:r>
      <w:r w:rsidR="00025F86">
        <w:t>customer onboarding processes</w:t>
      </w:r>
      <w:r w:rsidR="005E0659">
        <w:t xml:space="preserve">. </w:t>
      </w:r>
    </w:p>
    <w:p w14:paraId="705E22AE" w14:textId="12373CBE" w:rsidR="005E0659" w:rsidRPr="00A76ADB" w:rsidRDefault="005E0659" w:rsidP="00B114DB">
      <w:pPr>
        <w:pStyle w:val="Heading3"/>
      </w:pPr>
      <w:r>
        <w:t xml:space="preserve">There is limited </w:t>
      </w:r>
      <w:r w:rsidRPr="00A76ADB">
        <w:t>reporting on declined applications for transaction accounts</w:t>
      </w:r>
      <w:r>
        <w:t xml:space="preserve"> </w:t>
      </w:r>
    </w:p>
    <w:p w14:paraId="63A87F12" w14:textId="7658D310" w:rsidR="005E0659" w:rsidRDefault="005E0659" w:rsidP="00954C8C">
      <w:pPr>
        <w:spacing w:after="120"/>
      </w:pPr>
      <w:r w:rsidRPr="00492EA7">
        <w:t xml:space="preserve">As part of the Thematic </w:t>
      </w:r>
      <w:r>
        <w:t>Review,</w:t>
      </w:r>
      <w:r w:rsidRPr="00492EA7">
        <w:t xml:space="preserve"> RBNZ asked entities for information on their practices associated with measuring access to transaction accounts</w:t>
      </w:r>
      <w:r w:rsidR="00025F86">
        <w:t xml:space="preserve"> and customer onboarding for transaction accounts</w:t>
      </w:r>
      <w:r w:rsidRPr="00492EA7">
        <w:t>. The Review found that</w:t>
      </w:r>
      <w:r w:rsidR="002276E0">
        <w:t xml:space="preserve"> </w:t>
      </w:r>
      <w:r w:rsidR="007D0E04">
        <w:t>3</w:t>
      </w:r>
      <w:r w:rsidR="0047032A">
        <w:t>9</w:t>
      </w:r>
      <w:r w:rsidR="002276E0">
        <w:t>%</w:t>
      </w:r>
      <w:r w:rsidRPr="00492EA7">
        <w:t xml:space="preserve"> of</w:t>
      </w:r>
      <w:r w:rsidR="008D0D78">
        <w:t xml:space="preserve"> participating</w:t>
      </w:r>
      <w:r w:rsidRPr="00492EA7">
        <w:t xml:space="preserve"> deposit takers collect information on the number of applications for transaction accounts that are accepted and declined. </w:t>
      </w:r>
      <w:r w:rsidR="00C251A5">
        <w:t>For</w:t>
      </w:r>
      <w:r w:rsidRPr="00492EA7">
        <w:t xml:space="preserve"> entities collecting information on the number of accepted and declined applications transaction accounts, </w:t>
      </w:r>
      <w:r>
        <w:t>some deposit takers</w:t>
      </w:r>
      <w:r w:rsidRPr="00492EA7">
        <w:t xml:space="preserve"> </w:t>
      </w:r>
      <w:r w:rsidR="00C251A5">
        <w:t xml:space="preserve">indicated </w:t>
      </w:r>
      <w:r w:rsidRPr="00492EA7">
        <w:t xml:space="preserve">that further work would be </w:t>
      </w:r>
      <w:r w:rsidRPr="00492EA7">
        <w:lastRenderedPageBreak/>
        <w:t xml:space="preserve">required for </w:t>
      </w:r>
      <w:r w:rsidR="00667D2F">
        <w:t>them</w:t>
      </w:r>
      <w:r w:rsidRPr="00492EA7">
        <w:t xml:space="preserve"> to provide information on the reason why </w:t>
      </w:r>
      <w:r>
        <w:t>an</w:t>
      </w:r>
      <w:r w:rsidRPr="00492EA7">
        <w:t xml:space="preserve"> application was declined. </w:t>
      </w:r>
      <w:r w:rsidR="1B67E862">
        <w:t xml:space="preserve">The </w:t>
      </w:r>
      <w:r>
        <w:t>Thematic</w:t>
      </w:r>
      <w:r w:rsidRPr="00492EA7">
        <w:t xml:space="preserve"> Review</w:t>
      </w:r>
      <w:r w:rsidR="002C4DA7">
        <w:t xml:space="preserve"> </w:t>
      </w:r>
      <w:r w:rsidR="67B1140B">
        <w:t>found</w:t>
      </w:r>
      <w:r w:rsidRPr="00492EA7">
        <w:t xml:space="preserve"> that </w:t>
      </w:r>
      <w:r w:rsidR="013684AB">
        <w:t>many</w:t>
      </w:r>
      <w:r w:rsidRPr="00492EA7">
        <w:t xml:space="preserve"> deposit</w:t>
      </w:r>
      <w:r w:rsidR="013684AB">
        <w:t>-</w:t>
      </w:r>
      <w:r w:rsidRPr="00492EA7">
        <w:t xml:space="preserve">taking entities </w:t>
      </w:r>
      <w:r w:rsidR="008D0D78">
        <w:t xml:space="preserve">are not </w:t>
      </w:r>
      <w:r w:rsidR="6E47AADB">
        <w:t xml:space="preserve">assessing </w:t>
      </w:r>
      <w:r w:rsidR="002C4DA7">
        <w:t xml:space="preserve">how many potential deposit customers they are turning away, </w:t>
      </w:r>
      <w:r w:rsidR="00C251A5">
        <w:t>nor</w:t>
      </w:r>
      <w:r w:rsidR="002C4DA7">
        <w:t xml:space="preserve"> reporting on the reasons they are not able to</w:t>
      </w:r>
      <w:r w:rsidR="6E47AADB">
        <w:t xml:space="preserve"> ope</w:t>
      </w:r>
      <w:r w:rsidR="002C4DA7">
        <w:t>n</w:t>
      </w:r>
      <w:r w:rsidR="6E47AADB">
        <w:t xml:space="preserve"> transaction accounts</w:t>
      </w:r>
      <w:r w:rsidR="008D0D78">
        <w:t xml:space="preserve"> for </w:t>
      </w:r>
      <w:r w:rsidR="002C4DA7">
        <w:t xml:space="preserve">some </w:t>
      </w:r>
      <w:r w:rsidR="008D0D78">
        <w:t>customers</w:t>
      </w:r>
      <w:r w:rsidR="002C4DA7">
        <w:t xml:space="preserve"> in a centralised or co-ordinated way</w:t>
      </w:r>
      <w:r w:rsidR="6E47AADB">
        <w:t>.</w:t>
      </w:r>
    </w:p>
    <w:p w14:paraId="7E39E780" w14:textId="10F23E4A" w:rsidR="00556D68" w:rsidRPr="00577BDD" w:rsidRDefault="00556D68" w:rsidP="00B114DB">
      <w:pPr>
        <w:pStyle w:val="Heading3"/>
      </w:pPr>
      <w:r>
        <w:t>Customer onboarding processes for</w:t>
      </w:r>
      <w:r w:rsidRPr="00577BDD">
        <w:t xml:space="preserve"> transaction account</w:t>
      </w:r>
      <w:r>
        <w:t xml:space="preserve"> can</w:t>
      </w:r>
      <w:r w:rsidRPr="00577BDD">
        <w:t xml:space="preserve"> be difficult</w:t>
      </w:r>
      <w:r>
        <w:t xml:space="preserve"> </w:t>
      </w:r>
    </w:p>
    <w:p w14:paraId="1ED2F9C5" w14:textId="77777777" w:rsidR="00640578" w:rsidRDefault="00CB0766" w:rsidP="000C5BAC">
      <w:pPr>
        <w:rPr>
          <w:color w:val="000000" w:themeColor="text2"/>
        </w:rPr>
      </w:pPr>
      <w:r>
        <w:t>RBNZ commissioned research</w:t>
      </w:r>
      <w:r w:rsidR="000C5BAC">
        <w:t xml:space="preserve"> with ThinkPlaceNZ </w:t>
      </w:r>
      <w:r w:rsidR="6AD3ED9E">
        <w:t>title</w:t>
      </w:r>
      <w:r w:rsidR="776B21D6">
        <w:t>d</w:t>
      </w:r>
      <w:r w:rsidR="000C5BAC">
        <w:t xml:space="preserve"> ‘First Steps to Financial Inclusion’</w:t>
      </w:r>
      <w:r w:rsidR="0010563A">
        <w:t xml:space="preserve"> </w:t>
      </w:r>
      <w:r>
        <w:t>to help offer insights into the barriers to open accounts during customer onboarding processes.</w:t>
      </w:r>
      <w:r w:rsidR="000C5BAC">
        <w:rPr>
          <w:rStyle w:val="FootnoteReference"/>
        </w:rPr>
        <w:footnoteReference w:id="36"/>
      </w:r>
      <w:r>
        <w:t xml:space="preserve"> The research explored </w:t>
      </w:r>
      <w:r w:rsidR="00556D68" w:rsidRPr="0CD12101">
        <w:rPr>
          <w:color w:val="000000" w:themeColor="text2"/>
        </w:rPr>
        <w:t xml:space="preserve">how </w:t>
      </w:r>
      <w:r w:rsidRPr="0CD12101">
        <w:rPr>
          <w:color w:val="000000" w:themeColor="text2"/>
        </w:rPr>
        <w:t xml:space="preserve">often </w:t>
      </w:r>
      <w:r w:rsidR="00556D68" w:rsidRPr="0CD12101">
        <w:rPr>
          <w:color w:val="000000" w:themeColor="text2"/>
        </w:rPr>
        <w:t xml:space="preserve">frontline banking staff experience issues during customer onboarding, how often they are unable to open accounts, the customer segments impacted, and the common underlying </w:t>
      </w:r>
      <w:r w:rsidR="000C5BAC">
        <w:rPr>
          <w:color w:val="000000" w:themeColor="text2"/>
        </w:rPr>
        <w:t>drivers of issues</w:t>
      </w:r>
      <w:r w:rsidR="00556D68" w:rsidRPr="0CD12101">
        <w:rPr>
          <w:color w:val="000000" w:themeColor="text2"/>
        </w:rPr>
        <w:t xml:space="preserve">. </w:t>
      </w:r>
    </w:p>
    <w:p w14:paraId="7B702BA7" w14:textId="1EC4C353" w:rsidR="00054B49" w:rsidRDefault="00640578" w:rsidP="000C5BAC">
      <w:pPr>
        <w:rPr>
          <w:color w:val="000000" w:themeColor="text2"/>
        </w:rPr>
      </w:pPr>
      <w:r>
        <w:t xml:space="preserve">It appears that issues with access to transaction accounts are seen by frontline bank staff on a </w:t>
      </w:r>
      <w:r w:rsidRPr="00492EA7">
        <w:t xml:space="preserve">relatively </w:t>
      </w:r>
      <w:r>
        <w:t>frequent basis</w:t>
      </w:r>
      <w:r w:rsidRPr="00492EA7">
        <w:t xml:space="preserve"> and</w:t>
      </w:r>
      <w:r>
        <w:t xml:space="preserve"> can</w:t>
      </w:r>
      <w:r w:rsidRPr="00492EA7">
        <w:t xml:space="preserve"> impact people in a variety of circumstances.</w:t>
      </w:r>
      <w:r>
        <w:rPr>
          <w:rStyle w:val="FootnoteReference"/>
        </w:rPr>
        <w:footnoteReference w:id="37"/>
      </w:r>
      <w:r>
        <w:t xml:space="preserve"> </w:t>
      </w:r>
      <w:r w:rsidRPr="0CD12101">
        <w:rPr>
          <w:color w:val="000000" w:themeColor="text2"/>
        </w:rPr>
        <w:t xml:space="preserve">A third of frontline staff surveyed said </w:t>
      </w:r>
      <w:r w:rsidRPr="000C5BAC">
        <w:t xml:space="preserve">that </w:t>
      </w:r>
      <w:r w:rsidRPr="007C33B4">
        <w:t>they were unable to open a bank account for a customer often or very often (on a monthly or weekly basis).</w:t>
      </w:r>
      <w:r w:rsidRPr="007C33B4" w:rsidDel="000C5BAC">
        <w:t xml:space="preserve"> </w:t>
      </w:r>
      <w:r w:rsidRPr="007C33B4">
        <w:t>The survey undertaken with 722 frontline bank staff also highlighted that access to banking issues can impact a range of customers, including young people, rural communities, recent migrants, the elderly, trusts and not-for-profits, and non-English speakers.</w:t>
      </w:r>
      <w:r>
        <w:t xml:space="preserve"> </w:t>
      </w:r>
      <w:r w:rsidR="00054B49" w:rsidRPr="007C33B4">
        <w:t xml:space="preserve">The </w:t>
      </w:r>
      <w:r w:rsidR="00054B49" w:rsidRPr="007C33B4">
        <w:rPr>
          <w:color w:val="000000" w:themeColor="text2"/>
        </w:rPr>
        <w:t xml:space="preserve">research </w:t>
      </w:r>
      <w:r w:rsidR="04F6DF78">
        <w:rPr>
          <w:color w:val="000000" w:themeColor="text2"/>
        </w:rPr>
        <w:t>suggests</w:t>
      </w:r>
      <w:r w:rsidR="00054B49" w:rsidRPr="007C33B4">
        <w:rPr>
          <w:color w:val="000000" w:themeColor="text2"/>
        </w:rPr>
        <w:t xml:space="preserve"> that </w:t>
      </w:r>
      <w:r w:rsidR="000C5BAC" w:rsidRPr="007C33B4">
        <w:rPr>
          <w:color w:val="000000" w:themeColor="text2"/>
        </w:rPr>
        <w:t>the translation of risk appetite in managing customer onboarding risks extends beyond the original policy intent for customer due diligence processes. This creates unintended consequences for New Zealanders, constraining access to banking services</w:t>
      </w:r>
      <w:r w:rsidR="6A4ED050" w:rsidRPr="753923B8">
        <w:rPr>
          <w:color w:val="000000" w:themeColor="text2"/>
        </w:rPr>
        <w:t xml:space="preserve"> for some</w:t>
      </w:r>
      <w:r w:rsidR="00D60CFD">
        <w:rPr>
          <w:color w:val="000000" w:themeColor="text2"/>
        </w:rPr>
        <w:t xml:space="preserve"> consumers. </w:t>
      </w:r>
    </w:p>
    <w:p w14:paraId="64B3FCD4" w14:textId="10C6AD20" w:rsidR="00CB0156" w:rsidRDefault="009E0B75" w:rsidP="00CB0156">
      <w:pPr>
        <w:pStyle w:val="Heading3"/>
      </w:pPr>
      <w:r>
        <w:t>P</w:t>
      </w:r>
      <w:r w:rsidR="00CB0156">
        <w:t>roblems with access to transaction accounts appears to be widespread</w:t>
      </w:r>
    </w:p>
    <w:p w14:paraId="02E18510" w14:textId="48A600CD" w:rsidR="00556D68" w:rsidRPr="00972602" w:rsidRDefault="00640578" w:rsidP="00954C8C">
      <w:pPr>
        <w:rPr>
          <w:color w:val="000000" w:themeColor="text1"/>
        </w:rPr>
      </w:pPr>
      <w:r>
        <w:t>The First Steps to Financial Inclusion Report suggests that problems associated with access to transaction accounts are primarily related to the way</w:t>
      </w:r>
      <w:r w:rsidRPr="00F23A47">
        <w:t xml:space="preserve"> </w:t>
      </w:r>
      <w:r>
        <w:t>CDD</w:t>
      </w:r>
      <w:r w:rsidRPr="00F23A47">
        <w:t xml:space="preserve"> checks </w:t>
      </w:r>
      <w:r>
        <w:t>are being implemented</w:t>
      </w:r>
      <w:r w:rsidR="00AE66C5" w:rsidRPr="753923B8">
        <w:rPr>
          <w:color w:val="000000" w:themeColor="text2"/>
        </w:rPr>
        <w:t>.</w:t>
      </w:r>
      <w:r w:rsidR="00C45438" w:rsidRPr="753923B8">
        <w:rPr>
          <w:color w:val="000000" w:themeColor="text2"/>
        </w:rPr>
        <w:t xml:space="preserve"> </w:t>
      </w:r>
      <w:r w:rsidR="00556D68" w:rsidRPr="753923B8">
        <w:rPr>
          <w:color w:val="000000" w:themeColor="text2"/>
        </w:rPr>
        <w:t xml:space="preserve">Frontline staff reported that ID requirements, proof of address and complexities of paperwork are the top three barriers impeding them from opening transaction accounts for people. Other key factors included physical access to bank branches and the circumstances of customers (such as language barriers and financial capability). </w:t>
      </w:r>
      <w:r w:rsidR="005E0659" w:rsidRPr="753923B8">
        <w:rPr>
          <w:color w:val="000000" w:themeColor="text2"/>
        </w:rPr>
        <w:t>In addition,</w:t>
      </w:r>
      <w:r w:rsidR="00556D68" w:rsidRPr="753923B8">
        <w:rPr>
          <w:color w:val="000000" w:themeColor="text2"/>
        </w:rPr>
        <w:t xml:space="preserve"> the internal policies and processes</w:t>
      </w:r>
      <w:r w:rsidR="00972602" w:rsidRPr="753923B8">
        <w:rPr>
          <w:color w:val="000000" w:themeColor="text2"/>
        </w:rPr>
        <w:t xml:space="preserve"> reported by frontline staff</w:t>
      </w:r>
      <w:r w:rsidR="00556D68" w:rsidRPr="753923B8">
        <w:rPr>
          <w:color w:val="000000" w:themeColor="text2"/>
        </w:rPr>
        <w:t xml:space="preserve"> were weighted towards a risk averse approach to customer onboarding, with </w:t>
      </w:r>
      <w:r w:rsidR="00855E49" w:rsidRPr="753923B8">
        <w:rPr>
          <w:color w:val="000000" w:themeColor="text2"/>
        </w:rPr>
        <w:t>76%</w:t>
      </w:r>
      <w:r w:rsidR="00556D68" w:rsidRPr="753923B8">
        <w:rPr>
          <w:color w:val="000000" w:themeColor="text2"/>
        </w:rPr>
        <w:t xml:space="preserve"> of frontline</w:t>
      </w:r>
      <w:r w:rsidR="00972602" w:rsidRPr="753923B8">
        <w:rPr>
          <w:color w:val="000000" w:themeColor="text2"/>
        </w:rPr>
        <w:t xml:space="preserve"> </w:t>
      </w:r>
      <w:r w:rsidR="00556D68" w:rsidRPr="753923B8">
        <w:rPr>
          <w:color w:val="000000" w:themeColor="text2"/>
        </w:rPr>
        <w:t xml:space="preserve">staff reporting being encouraged to take a cautious or very cautious approach to customer onboarding, and </w:t>
      </w:r>
      <w:r w:rsidR="00855E49" w:rsidRPr="753923B8">
        <w:rPr>
          <w:color w:val="000000" w:themeColor="text2"/>
        </w:rPr>
        <w:t>16</w:t>
      </w:r>
      <w:r w:rsidR="00556D68" w:rsidRPr="753923B8">
        <w:rPr>
          <w:color w:val="000000" w:themeColor="text2"/>
        </w:rPr>
        <w:t xml:space="preserve">% reporting being encouraged to take a moderate approach. </w:t>
      </w:r>
      <w:r w:rsidR="28FBE3BC" w:rsidRPr="753923B8">
        <w:rPr>
          <w:color w:val="000000" w:themeColor="text2"/>
        </w:rPr>
        <w:t>Th</w:t>
      </w:r>
      <w:r w:rsidR="0C8347AC" w:rsidRPr="753923B8">
        <w:rPr>
          <w:color w:val="000000" w:themeColor="text2"/>
        </w:rPr>
        <w:t>is</w:t>
      </w:r>
      <w:r w:rsidR="00D60CFD">
        <w:rPr>
          <w:color w:val="000000" w:themeColor="text2"/>
        </w:rPr>
        <w:t xml:space="preserve"> </w:t>
      </w:r>
      <w:r w:rsidR="00054B49" w:rsidRPr="753923B8">
        <w:rPr>
          <w:color w:val="000000" w:themeColor="text2"/>
        </w:rPr>
        <w:t xml:space="preserve">suggests that </w:t>
      </w:r>
      <w:r w:rsidR="005E0659" w:rsidRPr="753923B8">
        <w:rPr>
          <w:color w:val="000000" w:themeColor="text2"/>
        </w:rPr>
        <w:t xml:space="preserve">the costs </w:t>
      </w:r>
      <w:r w:rsidR="00054B49" w:rsidRPr="753923B8">
        <w:rPr>
          <w:color w:val="000000" w:themeColor="text2"/>
        </w:rPr>
        <w:t xml:space="preserve">or perceived risks </w:t>
      </w:r>
      <w:r w:rsidR="005E0659" w:rsidRPr="753923B8">
        <w:rPr>
          <w:color w:val="000000" w:themeColor="text2"/>
        </w:rPr>
        <w:t xml:space="preserve">of opening transaction accounts </w:t>
      </w:r>
      <w:r w:rsidR="00054B49" w:rsidRPr="753923B8">
        <w:rPr>
          <w:color w:val="000000" w:themeColor="text2"/>
        </w:rPr>
        <w:t>can be high</w:t>
      </w:r>
      <w:r w:rsidR="005E0659" w:rsidRPr="753923B8">
        <w:rPr>
          <w:color w:val="000000" w:themeColor="text2"/>
        </w:rPr>
        <w:t xml:space="preserve"> </w:t>
      </w:r>
      <w:r w:rsidR="00054B49" w:rsidRPr="753923B8">
        <w:rPr>
          <w:color w:val="000000" w:themeColor="text2"/>
        </w:rPr>
        <w:t>(e.g. conducting in-person interviews, handling forms, and verifying documentation</w:t>
      </w:r>
      <w:r w:rsidR="28FBE3BC" w:rsidRPr="753923B8">
        <w:rPr>
          <w:color w:val="000000" w:themeColor="text2"/>
        </w:rPr>
        <w:t>)</w:t>
      </w:r>
      <w:r w:rsidR="314D9EEC" w:rsidRPr="753923B8">
        <w:rPr>
          <w:color w:val="000000" w:themeColor="text2"/>
        </w:rPr>
        <w:t xml:space="preserve">. </w:t>
      </w:r>
      <w:r w:rsidR="005708FD">
        <w:rPr>
          <w:color w:val="000000" w:themeColor="text2"/>
        </w:rPr>
        <w:t xml:space="preserve">We have explored the economics of transaction accounts to understand how these costs can </w:t>
      </w:r>
      <w:r w:rsidR="314D9EEC" w:rsidRPr="753923B8">
        <w:rPr>
          <w:color w:val="000000" w:themeColor="text2"/>
        </w:rPr>
        <w:t>compare</w:t>
      </w:r>
      <w:r w:rsidR="005708FD">
        <w:rPr>
          <w:color w:val="000000" w:themeColor="text2"/>
        </w:rPr>
        <w:t xml:space="preserve"> to the financial </w:t>
      </w:r>
      <w:r w:rsidR="00054B49" w:rsidRPr="753923B8">
        <w:rPr>
          <w:color w:val="000000" w:themeColor="text2"/>
        </w:rPr>
        <w:t xml:space="preserve">incentives </w:t>
      </w:r>
      <w:r w:rsidR="005708FD">
        <w:rPr>
          <w:color w:val="000000" w:themeColor="text2"/>
        </w:rPr>
        <w:t xml:space="preserve">for an </w:t>
      </w:r>
      <w:r w:rsidR="00054B49" w:rsidRPr="753923B8">
        <w:rPr>
          <w:color w:val="000000" w:themeColor="text2"/>
        </w:rPr>
        <w:t xml:space="preserve">entity to open an </w:t>
      </w:r>
      <w:r w:rsidR="002D30D4" w:rsidRPr="753923B8">
        <w:rPr>
          <w:color w:val="000000" w:themeColor="text2"/>
        </w:rPr>
        <w:t>account</w:t>
      </w:r>
      <w:r w:rsidR="00054B49" w:rsidRPr="753923B8">
        <w:rPr>
          <w:color w:val="000000" w:themeColor="text2"/>
        </w:rPr>
        <w:t xml:space="preserve"> for </w:t>
      </w:r>
      <w:r w:rsidR="00A32B63" w:rsidRPr="753923B8">
        <w:rPr>
          <w:color w:val="000000" w:themeColor="text2"/>
        </w:rPr>
        <w:t xml:space="preserve">some customers </w:t>
      </w:r>
      <w:r w:rsidR="00054B49" w:rsidRPr="753923B8">
        <w:rPr>
          <w:color w:val="000000" w:themeColor="text2"/>
        </w:rPr>
        <w:t xml:space="preserve">(e.g. </w:t>
      </w:r>
      <w:r w:rsidR="00A32B63" w:rsidRPr="753923B8">
        <w:rPr>
          <w:color w:val="000000" w:themeColor="text2"/>
        </w:rPr>
        <w:t>charitable trusts</w:t>
      </w:r>
      <w:r w:rsidR="00054B49" w:rsidRPr="753923B8">
        <w:rPr>
          <w:color w:val="000000" w:themeColor="text2"/>
        </w:rPr>
        <w:t xml:space="preserve">). </w:t>
      </w:r>
    </w:p>
    <w:p w14:paraId="42080664" w14:textId="63C0A478" w:rsidR="007C14D9" w:rsidRPr="004C3CFC" w:rsidRDefault="00A05672" w:rsidP="00B114DB">
      <w:pPr>
        <w:pStyle w:val="Heading2Numbered"/>
      </w:pPr>
      <w:bookmarkStart w:id="23" w:name="_Toc193437684"/>
      <w:bookmarkStart w:id="24" w:name="_Ref193452957"/>
      <w:bookmarkStart w:id="25" w:name="_Ref193452964"/>
      <w:bookmarkStart w:id="26" w:name="_Toc196208742"/>
      <w:r w:rsidRPr="004C3CFC">
        <w:rPr>
          <w:rStyle w:val="Heading4Char"/>
        </w:rPr>
        <w:t>The economics of transaction accounts</w:t>
      </w:r>
      <w:bookmarkEnd w:id="23"/>
      <w:bookmarkEnd w:id="24"/>
      <w:bookmarkEnd w:id="25"/>
      <w:bookmarkEnd w:id="26"/>
      <w:r w:rsidRPr="004C3CFC">
        <w:rPr>
          <w:rStyle w:val="Heading4Char"/>
        </w:rPr>
        <w:t xml:space="preserve"> </w:t>
      </w:r>
    </w:p>
    <w:p w14:paraId="17D50EC7" w14:textId="2EE8181B" w:rsidR="002500DE" w:rsidRPr="004C3CFC" w:rsidRDefault="00516F96" w:rsidP="00B114DB">
      <w:pPr>
        <w:pStyle w:val="Heading3"/>
      </w:pPr>
      <w:r w:rsidRPr="004C3CFC">
        <w:t>Deposit takers</w:t>
      </w:r>
      <w:r w:rsidR="002500DE" w:rsidRPr="004C3CFC">
        <w:t xml:space="preserve"> incur </w:t>
      </w:r>
      <w:r w:rsidRPr="004C3CFC">
        <w:t>costs</w:t>
      </w:r>
      <w:r w:rsidR="00430387">
        <w:t xml:space="preserve"> and benefits</w:t>
      </w:r>
      <w:r w:rsidRPr="004C3CFC">
        <w:t xml:space="preserve"> in the provision of </w:t>
      </w:r>
      <w:r w:rsidR="00A05672" w:rsidRPr="004C3CFC">
        <w:t xml:space="preserve">transaction </w:t>
      </w:r>
      <w:r w:rsidR="002500DE" w:rsidRPr="004C3CFC">
        <w:t>account</w:t>
      </w:r>
      <w:r w:rsidR="00A05672" w:rsidRPr="004C3CFC">
        <w:t>s</w:t>
      </w:r>
    </w:p>
    <w:p w14:paraId="23D2078B" w14:textId="77777777" w:rsidR="00640578" w:rsidRDefault="002500DE" w:rsidP="00954C8C">
      <w:r w:rsidRPr="004C3CFC">
        <w:t xml:space="preserve">Banks incur </w:t>
      </w:r>
      <w:r w:rsidR="004102E8">
        <w:t>costs</w:t>
      </w:r>
      <w:r w:rsidR="004102E8" w:rsidRPr="004C3CFC">
        <w:t xml:space="preserve"> </w:t>
      </w:r>
      <w:r w:rsidRPr="004C3CFC">
        <w:t xml:space="preserve">in </w:t>
      </w:r>
      <w:r w:rsidR="00D72484">
        <w:t>both</w:t>
      </w:r>
      <w:r w:rsidRPr="004C3CFC">
        <w:t xml:space="preserve"> opening and maintaining transaction accounts.</w:t>
      </w:r>
      <w:r w:rsidR="00AE66C5">
        <w:t xml:space="preserve"> </w:t>
      </w:r>
      <w:r w:rsidR="002E72FD" w:rsidRPr="002E72FD">
        <w:t>The process of opening an</w:t>
      </w:r>
      <w:r w:rsidRPr="004C3CFC">
        <w:t xml:space="preserve"> account </w:t>
      </w:r>
      <w:r w:rsidR="002E72FD" w:rsidRPr="002E72FD">
        <w:t>includes</w:t>
      </w:r>
      <w:r w:rsidRPr="004C3CFC">
        <w:t xml:space="preserve"> verifying the consumer’s identity to comply with anti-money </w:t>
      </w:r>
      <w:r w:rsidRPr="004C3CFC">
        <w:lastRenderedPageBreak/>
        <w:t xml:space="preserve">laundering regulations, providing </w:t>
      </w:r>
      <w:r w:rsidR="002E72FD" w:rsidRPr="002E72FD">
        <w:t>necessary</w:t>
      </w:r>
      <w:r w:rsidRPr="004C3CFC">
        <w:t xml:space="preserve"> disclosures</w:t>
      </w:r>
      <w:r w:rsidR="00A05672" w:rsidRPr="004C3CFC">
        <w:t xml:space="preserve"> and information</w:t>
      </w:r>
      <w:r w:rsidRPr="004C3CFC">
        <w:t xml:space="preserve">, </w:t>
      </w:r>
      <w:r w:rsidR="00A05672" w:rsidRPr="004C3CFC">
        <w:t>and recording</w:t>
      </w:r>
      <w:r w:rsidRPr="004C3CFC">
        <w:t xml:space="preserve"> </w:t>
      </w:r>
      <w:r w:rsidR="002E72FD" w:rsidRPr="002E72FD">
        <w:t>customer details</w:t>
      </w:r>
      <w:r>
        <w:t xml:space="preserve">. </w:t>
      </w:r>
      <w:r w:rsidR="00E70EDD">
        <w:t>While</w:t>
      </w:r>
      <w:r w:rsidR="009208B3">
        <w:t xml:space="preserve"> </w:t>
      </w:r>
      <w:r w:rsidR="002E72FD">
        <w:t>specific cost data</w:t>
      </w:r>
      <w:r w:rsidR="009208B3">
        <w:t xml:space="preserve"> for New Zealand</w:t>
      </w:r>
      <w:r w:rsidR="00DB2E7D">
        <w:t xml:space="preserve"> banks</w:t>
      </w:r>
      <w:r w:rsidR="002E72FD">
        <w:t xml:space="preserve"> is unavailable</w:t>
      </w:r>
      <w:r w:rsidR="009208B3">
        <w:t>, a</w:t>
      </w:r>
      <w:r>
        <w:t xml:space="preserve"> 2020 estimate </w:t>
      </w:r>
      <w:r w:rsidR="009208B3">
        <w:t xml:space="preserve">in </w:t>
      </w:r>
      <w:r w:rsidR="004049D9">
        <w:t xml:space="preserve">the </w:t>
      </w:r>
      <w:r w:rsidR="009208B3">
        <w:t>US indicate</w:t>
      </w:r>
      <w:r w:rsidR="004049D9">
        <w:t>d</w:t>
      </w:r>
      <w:r>
        <w:t xml:space="preserve"> that it </w:t>
      </w:r>
      <w:r w:rsidR="009208B3">
        <w:t>costs</w:t>
      </w:r>
      <w:r>
        <w:t xml:space="preserve"> banks </w:t>
      </w:r>
      <w:r w:rsidR="004049D9">
        <w:t>an</w:t>
      </w:r>
      <w:r>
        <w:t xml:space="preserve"> average </w:t>
      </w:r>
      <w:r w:rsidR="00E70EDD">
        <w:t>US</w:t>
      </w:r>
      <w:r>
        <w:t xml:space="preserve">$280 to onboard a new customer through conventional </w:t>
      </w:r>
      <w:r w:rsidR="004049D9">
        <w:t>methods</w:t>
      </w:r>
      <w:r>
        <w:t xml:space="preserve">, and </w:t>
      </w:r>
      <w:r w:rsidR="00E70EDD">
        <w:t>US</w:t>
      </w:r>
      <w:r>
        <w:t xml:space="preserve">$120 </w:t>
      </w:r>
      <w:r w:rsidR="00AE66C5">
        <w:t>through</w:t>
      </w:r>
      <w:r>
        <w:t xml:space="preserve"> digital</w:t>
      </w:r>
      <w:r w:rsidR="00AE66C5">
        <w:t xml:space="preserve"> </w:t>
      </w:r>
      <w:r>
        <w:t>on</w:t>
      </w:r>
      <w:r w:rsidR="00AE66C5">
        <w:t>boarding</w:t>
      </w:r>
      <w:r>
        <w:t>.</w:t>
      </w:r>
      <w:r>
        <w:rPr>
          <w:rStyle w:val="FootnoteReference"/>
        </w:rPr>
        <w:footnoteReference w:id="38"/>
      </w:r>
      <w:r>
        <w:t xml:space="preserve"> </w:t>
      </w:r>
      <w:r w:rsidR="00795DA5" w:rsidRPr="00795DA5">
        <w:t>Maintaining an account also has costs</w:t>
      </w:r>
      <w:r w:rsidR="00A05672">
        <w:t xml:space="preserve">, </w:t>
      </w:r>
      <w:r w:rsidR="0094572E">
        <w:t>such as</w:t>
      </w:r>
      <w:r w:rsidR="00A05672">
        <w:t xml:space="preserve"> monitoring payments, providing statements and maintaining the technology to enable fund transfers, statements, and </w:t>
      </w:r>
      <w:r w:rsidR="0094572E">
        <w:t>customer support services</w:t>
      </w:r>
      <w:r w:rsidR="00A05672">
        <w:t>.</w:t>
      </w:r>
      <w:r w:rsidR="00A05672" w:rsidRPr="00A05672">
        <w:t xml:space="preserve"> </w:t>
      </w:r>
      <w:r w:rsidR="0094572E">
        <w:t>According to a 2010 estimate by t</w:t>
      </w:r>
      <w:r w:rsidR="00A05672" w:rsidRPr="00A05672">
        <w:t>he American Bankers Association</w:t>
      </w:r>
      <w:r w:rsidR="002E2C88">
        <w:t>, the annual</w:t>
      </w:r>
      <w:r w:rsidR="00A05672" w:rsidRPr="00A05672">
        <w:t xml:space="preserve"> cost </w:t>
      </w:r>
      <w:r w:rsidR="002E2C88">
        <w:t>for banks</w:t>
      </w:r>
      <w:r w:rsidR="00A05672" w:rsidRPr="00A05672">
        <w:t xml:space="preserve"> to maintain a</w:t>
      </w:r>
      <w:r w:rsidR="00D60CFD">
        <w:t xml:space="preserve"> </w:t>
      </w:r>
      <w:r w:rsidR="00D60CFD" w:rsidRPr="00D60CFD">
        <w:t>transaction</w:t>
      </w:r>
      <w:r w:rsidR="00A05672" w:rsidRPr="00D60CFD">
        <w:t xml:space="preserve"> account</w:t>
      </w:r>
      <w:r w:rsidR="002E2C88" w:rsidRPr="00D60CFD">
        <w:t xml:space="preserve"> ranged from </w:t>
      </w:r>
      <w:r w:rsidR="00E70EDD" w:rsidRPr="00D60CFD">
        <w:t>US</w:t>
      </w:r>
      <w:r w:rsidR="00A05672" w:rsidRPr="00D60CFD">
        <w:t xml:space="preserve">$200 and </w:t>
      </w:r>
      <w:r w:rsidR="00E70EDD" w:rsidRPr="00D60CFD">
        <w:t>US</w:t>
      </w:r>
      <w:r w:rsidR="00A05672" w:rsidRPr="00D60CFD">
        <w:t>$300.</w:t>
      </w:r>
      <w:r w:rsidR="00A05672" w:rsidRPr="00D60CFD">
        <w:rPr>
          <w:rStyle w:val="FootnoteReference"/>
        </w:rPr>
        <w:footnoteReference w:id="39"/>
      </w:r>
      <w:r w:rsidR="00A05672" w:rsidRPr="00D60CFD">
        <w:t xml:space="preserve"> </w:t>
      </w:r>
    </w:p>
    <w:p w14:paraId="5900C129" w14:textId="34CC01B1" w:rsidR="004B2A12" w:rsidRDefault="00FC26B0" w:rsidP="00954C8C">
      <w:r w:rsidRPr="00D60CFD">
        <w:t>D</w:t>
      </w:r>
      <w:r w:rsidR="00A05672" w:rsidRPr="00D60CFD">
        <w:t xml:space="preserve">eposit takers </w:t>
      </w:r>
      <w:r w:rsidRPr="00D60CFD">
        <w:t xml:space="preserve">can </w:t>
      </w:r>
      <w:r w:rsidR="00A05672" w:rsidRPr="00D60CFD">
        <w:t xml:space="preserve">earn money from transaction accounts </w:t>
      </w:r>
      <w:r w:rsidR="00516F96" w:rsidRPr="00D60CFD">
        <w:t>through interest rate spreads (what the deposit taker earns from reinvesting the deposit</w:t>
      </w:r>
      <w:r w:rsidRPr="00D60CFD">
        <w:t xml:space="preserve"> and lending money</w:t>
      </w:r>
      <w:r w:rsidR="00D60CFD" w:rsidRPr="00D60CFD">
        <w:t xml:space="preserve"> to other customers</w:t>
      </w:r>
      <w:r w:rsidR="00516F96" w:rsidRPr="00D60CFD">
        <w:t>) and fees.</w:t>
      </w:r>
      <w:r w:rsidR="00A91727" w:rsidRPr="00D60CFD">
        <w:t xml:space="preserve"> </w:t>
      </w:r>
      <w:r w:rsidR="00751CBC" w:rsidRPr="00D60CFD">
        <w:t xml:space="preserve">For transaction accounts with small deposits </w:t>
      </w:r>
      <w:r w:rsidR="004B2A12" w:rsidRPr="00D60CFD">
        <w:t xml:space="preserve">the </w:t>
      </w:r>
      <w:r w:rsidR="00D60CFD">
        <w:t xml:space="preserve">interest rate spread, or </w:t>
      </w:r>
      <w:r w:rsidR="004B2A12" w:rsidRPr="00D60CFD">
        <w:t>investment earnings</w:t>
      </w:r>
      <w:r w:rsidR="00D60CFD">
        <w:t xml:space="preserve"> from deposits, may not </w:t>
      </w:r>
      <w:r w:rsidR="00751CBC" w:rsidRPr="00D60CFD">
        <w:t xml:space="preserve">cover the </w:t>
      </w:r>
      <w:r w:rsidR="00D60CFD">
        <w:t xml:space="preserve">overhead </w:t>
      </w:r>
      <w:r w:rsidR="00751CBC" w:rsidRPr="00D60CFD">
        <w:t xml:space="preserve">costs of </w:t>
      </w:r>
      <w:r w:rsidR="00D60CFD">
        <w:t xml:space="preserve">opening and </w:t>
      </w:r>
      <w:r w:rsidR="00751CBC" w:rsidRPr="00D60CFD">
        <w:t>maintaining the accounts</w:t>
      </w:r>
      <w:r w:rsidR="00751CBC" w:rsidRPr="00516F96">
        <w:t>.</w:t>
      </w:r>
      <w:r w:rsidR="00751CBC">
        <w:rPr>
          <w:rStyle w:val="FootnoteReference"/>
        </w:rPr>
        <w:footnoteReference w:id="40"/>
      </w:r>
      <w:r w:rsidR="00751CBC" w:rsidRPr="00516F96">
        <w:t xml:space="preserve"> </w:t>
      </w:r>
      <w:r w:rsidR="00751CBC">
        <w:t>Some customers, such as</w:t>
      </w:r>
      <w:r w:rsidR="004B2A12">
        <w:t xml:space="preserve"> l</w:t>
      </w:r>
      <w:r w:rsidR="00751CBC" w:rsidRPr="00516F96">
        <w:t>ower-income c</w:t>
      </w:r>
      <w:r w:rsidR="004B2A12">
        <w:t>ustomers, can</w:t>
      </w:r>
      <w:r w:rsidR="00751CBC" w:rsidRPr="00516F96">
        <w:t xml:space="preserve"> have low balances</w:t>
      </w:r>
      <w:r w:rsidR="004B2A12">
        <w:t xml:space="preserve"> </w:t>
      </w:r>
      <w:r w:rsidR="00C251A5">
        <w:t xml:space="preserve">meaning that </w:t>
      </w:r>
      <w:r w:rsidR="004B2A12">
        <w:t>deposit takers</w:t>
      </w:r>
      <w:r w:rsidR="00751CBC" w:rsidRPr="00516F96">
        <w:t xml:space="preserve"> cannot profitably offer them </w:t>
      </w:r>
      <w:r w:rsidR="00091458">
        <w:t xml:space="preserve">a transaction account </w:t>
      </w:r>
      <w:r w:rsidR="004B2A12">
        <w:t>at low or no cost</w:t>
      </w:r>
      <w:r w:rsidR="00751CBC" w:rsidRPr="00516F96">
        <w:t>.</w:t>
      </w:r>
      <w:r w:rsidR="004B2A12">
        <w:rPr>
          <w:rStyle w:val="FootnoteReference"/>
        </w:rPr>
        <w:footnoteReference w:id="41"/>
      </w:r>
      <w:r w:rsidR="004B2A12">
        <w:t xml:space="preserve"> As a result, based purely on the economic and commercial drivers, it </w:t>
      </w:r>
      <w:r w:rsidR="000B2273">
        <w:t xml:space="preserve">may be perceived as </w:t>
      </w:r>
      <w:r w:rsidR="00D60CFD">
        <w:t xml:space="preserve">being </w:t>
      </w:r>
      <w:r w:rsidR="004B2A12">
        <w:t xml:space="preserve">economically rational for the supply of transaction accounts to not match the demand </w:t>
      </w:r>
      <w:r w:rsidR="00C251A5">
        <w:t xml:space="preserve">for </w:t>
      </w:r>
      <w:r w:rsidR="004B2A12">
        <w:t>transaction accounts</w:t>
      </w:r>
      <w:r w:rsidR="00931FFB">
        <w:t xml:space="preserve"> (</w:t>
      </w:r>
      <w:r w:rsidR="004B2A12">
        <w:t>where the costs associated with account provision outweigh the perceived economic benefits</w:t>
      </w:r>
      <w:r w:rsidR="00931FFB">
        <w:t>)</w:t>
      </w:r>
      <w:r w:rsidR="004B2A12">
        <w:t>.</w:t>
      </w:r>
      <w:r w:rsidR="00064385">
        <w:t xml:space="preserve"> </w:t>
      </w:r>
    </w:p>
    <w:p w14:paraId="54C1E96B" w14:textId="380A4762" w:rsidR="004B2A12" w:rsidRDefault="000B2273" w:rsidP="00954C8C">
      <w:r w:rsidRPr="00AE05EF">
        <w:t xml:space="preserve">However, </w:t>
      </w:r>
      <w:r>
        <w:t>t</w:t>
      </w:r>
      <w:r w:rsidR="004B2A12">
        <w:t xml:space="preserve">here are </w:t>
      </w:r>
      <w:r w:rsidR="00B60D9F">
        <w:t xml:space="preserve">wider </w:t>
      </w:r>
      <w:r w:rsidR="004B2A12">
        <w:t xml:space="preserve">benefits associated with having widespread access to transaction accounts that are not captured in </w:t>
      </w:r>
      <w:r w:rsidR="00B60D9F">
        <w:t>a</w:t>
      </w:r>
      <w:r w:rsidR="004B2A12">
        <w:t xml:space="preserve"> short-term equation between the</w:t>
      </w:r>
      <w:r w:rsidR="00931FFB">
        <w:t xml:space="preserve"> </w:t>
      </w:r>
      <w:r w:rsidR="004B2A12">
        <w:t xml:space="preserve">costs and benefits </w:t>
      </w:r>
      <w:r w:rsidR="00B60D9F">
        <w:t>of providing transaction accounts</w:t>
      </w:r>
      <w:r w:rsidR="004B2A12">
        <w:t xml:space="preserve">. </w:t>
      </w:r>
      <w:r w:rsidR="00B60D9F">
        <w:t>The externalities</w:t>
      </w:r>
      <w:r w:rsidR="00FC26B0">
        <w:t xml:space="preserve"> (</w:t>
      </w:r>
      <w:r w:rsidR="007E3B7F">
        <w:t>indirect cost or benefit)</w:t>
      </w:r>
      <w:r w:rsidR="00B60D9F">
        <w:t xml:space="preserve"> that may not be factored into commercial decisions relating to the provision of transaction accounts </w:t>
      </w:r>
      <w:r w:rsidR="007E3B7F">
        <w:t xml:space="preserve">can </w:t>
      </w:r>
      <w:r w:rsidR="00B60D9F">
        <w:t xml:space="preserve">include: </w:t>
      </w:r>
      <w:r w:rsidR="004B2A12">
        <w:t xml:space="preserve"> </w:t>
      </w:r>
    </w:p>
    <w:p w14:paraId="09C106F0" w14:textId="757121C7" w:rsidR="004B2A12" w:rsidRDefault="00B60D9F" w:rsidP="00C251A5">
      <w:pPr>
        <w:pStyle w:val="ListBullet"/>
        <w:spacing w:after="120"/>
      </w:pPr>
      <w:r w:rsidRPr="000D4362">
        <w:rPr>
          <w:rStyle w:val="Emphasis"/>
        </w:rPr>
        <w:t>Outcomes for consumers:</w:t>
      </w:r>
      <w:r>
        <w:t xml:space="preserve"> </w:t>
      </w:r>
      <w:r w:rsidR="00091458">
        <w:t>financial exclusion</w:t>
      </w:r>
      <w:r>
        <w:t xml:space="preserve"> can </w:t>
      </w:r>
      <w:r w:rsidR="00091458">
        <w:t>have</w:t>
      </w:r>
      <w:r>
        <w:t xml:space="preserve"> significant impacts for the </w:t>
      </w:r>
      <w:r w:rsidR="00BE6947">
        <w:t xml:space="preserve">financial </w:t>
      </w:r>
      <w:r>
        <w:t xml:space="preserve">health and wellbeing of customers, and their ability to </w:t>
      </w:r>
      <w:r w:rsidR="00091458">
        <w:t xml:space="preserve">make payments and </w:t>
      </w:r>
      <w:r>
        <w:t>manage their financial affairs.</w:t>
      </w:r>
      <w:r w:rsidR="00822A1E">
        <w:rPr>
          <w:rStyle w:val="FootnoteReference"/>
        </w:rPr>
        <w:footnoteReference w:id="42"/>
      </w:r>
      <w:r>
        <w:t xml:space="preserve"> </w:t>
      </w:r>
    </w:p>
    <w:p w14:paraId="66E9F808" w14:textId="296781BA" w:rsidR="00B60D9F" w:rsidRDefault="00B60D9F" w:rsidP="00C251A5">
      <w:pPr>
        <w:pStyle w:val="ListBullet"/>
        <w:spacing w:after="120"/>
      </w:pPr>
      <w:r w:rsidRPr="000D4362">
        <w:rPr>
          <w:rStyle w:val="Emphasis"/>
        </w:rPr>
        <w:t>Outcomes for the economy:</w:t>
      </w:r>
      <w:r>
        <w:rPr>
          <w:b/>
          <w:bCs/>
        </w:rPr>
        <w:t xml:space="preserve"> </w:t>
      </w:r>
      <w:r w:rsidR="00B57A0E">
        <w:t xml:space="preserve">access </w:t>
      </w:r>
      <w:r>
        <w:t xml:space="preserve">to transaction accounts supports people and businesses to participate in the economy. Widespread availability of transaction accounts can also support outcomes for </w:t>
      </w:r>
      <w:r w:rsidRPr="004C3CFC">
        <w:t>financial stability</w:t>
      </w:r>
      <w:r w:rsidRPr="004C3CFC">
        <w:rPr>
          <w:rStyle w:val="FootnoteReference"/>
        </w:rPr>
        <w:footnoteReference w:id="43"/>
      </w:r>
      <w:r w:rsidR="00D60CFD">
        <w:t>,</w:t>
      </w:r>
      <w:r w:rsidRPr="004C3CFC">
        <w:t xml:space="preserve"> monetary policy</w:t>
      </w:r>
      <w:r w:rsidRPr="004C3CFC">
        <w:rPr>
          <w:rStyle w:val="FootnoteReference"/>
        </w:rPr>
        <w:footnoteReference w:id="44"/>
      </w:r>
      <w:r w:rsidR="00D60CFD">
        <w:t>, and the effective delivery of Government contracts and welfare support</w:t>
      </w:r>
      <w:r w:rsidRPr="004C3CFC">
        <w:t>.</w:t>
      </w:r>
      <w:r>
        <w:t xml:space="preserve"> </w:t>
      </w:r>
    </w:p>
    <w:p w14:paraId="027FF228" w14:textId="7849CD19" w:rsidR="00B60D9F" w:rsidRDefault="00B60D9F" w:rsidP="00C251A5">
      <w:pPr>
        <w:pStyle w:val="ListBullet"/>
        <w:spacing w:after="120"/>
      </w:pPr>
      <w:r w:rsidRPr="000D4362">
        <w:rPr>
          <w:rStyle w:val="Emphasis"/>
        </w:rPr>
        <w:t>Outcomes for society:</w:t>
      </w:r>
      <w:r>
        <w:t xml:space="preserve"> </w:t>
      </w:r>
      <w:r w:rsidR="00B57A0E">
        <w:t xml:space="preserve">access </w:t>
      </w:r>
      <w:r w:rsidR="004C3CFC">
        <w:t xml:space="preserve">to transaction accounts can support volunteer </w:t>
      </w:r>
      <w:r w:rsidR="00C251A5">
        <w:t xml:space="preserve">and charitable </w:t>
      </w:r>
      <w:r w:rsidR="004C3CFC">
        <w:t>organisations to undertake important activities and initiatives that support thriving communities in</w:t>
      </w:r>
      <w:r w:rsidR="004A4E2A">
        <w:t xml:space="preserve"> Aotearoa</w:t>
      </w:r>
      <w:r w:rsidR="004C3CFC">
        <w:t xml:space="preserve"> New Zealand.</w:t>
      </w:r>
      <w:r w:rsidR="004C3CFC">
        <w:rPr>
          <w:rStyle w:val="FootnoteReference"/>
        </w:rPr>
        <w:footnoteReference w:id="45"/>
      </w:r>
      <w:r w:rsidR="004C3CFC">
        <w:t xml:space="preserve">  </w:t>
      </w:r>
    </w:p>
    <w:p w14:paraId="1DD6EE41" w14:textId="372760EF" w:rsidR="004C3CFC" w:rsidRDefault="00B60D9F" w:rsidP="00B114DB">
      <w:r>
        <w:t>Improving access to transaction accounts can</w:t>
      </w:r>
      <w:r w:rsidR="00091458">
        <w:t xml:space="preserve"> also help</w:t>
      </w:r>
      <w:r>
        <w:t xml:space="preserve"> broaden the deposit takers base</w:t>
      </w:r>
      <w:r w:rsidR="004C3CFC">
        <w:t xml:space="preserve">, support </w:t>
      </w:r>
      <w:r w:rsidR="00931FFB">
        <w:t>financial providers’</w:t>
      </w:r>
      <w:r w:rsidR="004C3CFC">
        <w:t xml:space="preserve"> social licen</w:t>
      </w:r>
      <w:r w:rsidR="00C251A5">
        <w:t>c</w:t>
      </w:r>
      <w:r w:rsidR="004C3CFC">
        <w:t>e to operate,</w:t>
      </w:r>
      <w:r>
        <w:t xml:space="preserve"> and help to establish long term banking relationships that le</w:t>
      </w:r>
      <w:r w:rsidR="004C3CFC">
        <w:t>a</w:t>
      </w:r>
      <w:r>
        <w:t xml:space="preserve">d </w:t>
      </w:r>
      <w:r w:rsidRPr="00D60CFD">
        <w:t>to customers migrating to more complex products and services</w:t>
      </w:r>
      <w:r w:rsidR="004C3CFC" w:rsidRPr="00D60CFD">
        <w:t xml:space="preserve"> over time (such as mortgages)</w:t>
      </w:r>
      <w:r w:rsidRPr="00D60CFD">
        <w:t xml:space="preserve">. </w:t>
      </w:r>
      <w:r w:rsidR="007905F9" w:rsidRPr="00D60CFD">
        <w:t>Li</w:t>
      </w:r>
      <w:r w:rsidR="004C3CFC" w:rsidRPr="00D60CFD">
        <w:t xml:space="preserve">mited recognition of the </w:t>
      </w:r>
      <w:r w:rsidR="00C512C1" w:rsidRPr="00D60CFD">
        <w:t xml:space="preserve">positive </w:t>
      </w:r>
      <w:r w:rsidR="004C3CFC" w:rsidRPr="00D60CFD">
        <w:t xml:space="preserve">externalities or societal benefits </w:t>
      </w:r>
      <w:r w:rsidR="004C3CFC" w:rsidRPr="00D60CFD">
        <w:lastRenderedPageBreak/>
        <w:t>of having widespread access to transaction accounts</w:t>
      </w:r>
      <w:r w:rsidR="00E8007A">
        <w:t xml:space="preserve"> </w:t>
      </w:r>
      <w:r w:rsidR="007905F9" w:rsidRPr="00D60CFD">
        <w:t xml:space="preserve">could </w:t>
      </w:r>
      <w:r w:rsidR="00D60CFD" w:rsidRPr="00D60CFD">
        <w:t>result in an ongoing</w:t>
      </w:r>
      <w:r w:rsidR="00015C9C" w:rsidRPr="00D60CFD">
        <w:t xml:space="preserve"> decrease </w:t>
      </w:r>
      <w:r w:rsidR="00D60CFD" w:rsidRPr="00D60CFD">
        <w:t xml:space="preserve">in </w:t>
      </w:r>
      <w:r w:rsidR="00015C9C" w:rsidRPr="00D60CFD">
        <w:t>access to bank accounts over time</w:t>
      </w:r>
      <w:r w:rsidR="00E8007A">
        <w:t>,</w:t>
      </w:r>
      <w:r w:rsidR="00D60CFD" w:rsidRPr="00D60CFD">
        <w:t xml:space="preserve"> and</w:t>
      </w:r>
      <w:r w:rsidR="00015C9C" w:rsidRPr="00D60CFD">
        <w:t xml:space="preserve"> </w:t>
      </w:r>
      <w:r w:rsidR="00903922" w:rsidRPr="00D60CFD">
        <w:t>a</w:t>
      </w:r>
      <w:r w:rsidR="005B6268" w:rsidRPr="00D60CFD">
        <w:t xml:space="preserve"> joint market failure</w:t>
      </w:r>
      <w:r w:rsidR="005B6268" w:rsidRPr="00D60CFD">
        <w:rPr>
          <w:rStyle w:val="FootnoteReference"/>
        </w:rPr>
        <w:footnoteReference w:id="46"/>
      </w:r>
      <w:r w:rsidR="005B6268" w:rsidRPr="00D60CFD">
        <w:t xml:space="preserve"> and regulatory failure</w:t>
      </w:r>
      <w:r w:rsidR="005B6268" w:rsidRPr="00D60CFD">
        <w:rPr>
          <w:rStyle w:val="FootnoteReference"/>
        </w:rPr>
        <w:footnoteReference w:id="47"/>
      </w:r>
      <w:r w:rsidR="00E8007A">
        <w:t xml:space="preserve"> if current settings persist</w:t>
      </w:r>
      <w:r w:rsidR="00252CE5" w:rsidRPr="00D60CFD">
        <w:t>.</w:t>
      </w:r>
      <w:r w:rsidR="005B6268">
        <w:t xml:space="preserve"> </w:t>
      </w:r>
      <w:r w:rsidR="005B6268" w:rsidRPr="004557EF">
        <w:t xml:space="preserve"> </w:t>
      </w:r>
    </w:p>
    <w:p w14:paraId="34CB0720" w14:textId="2C120A06" w:rsidR="00B60D9F" w:rsidRDefault="00B60D9F" w:rsidP="00B114DB">
      <w:pPr>
        <w:pStyle w:val="Heading2Numbered"/>
      </w:pPr>
      <w:bookmarkStart w:id="27" w:name="_Toc193437685"/>
      <w:bookmarkStart w:id="28" w:name="_Ref193452969"/>
      <w:bookmarkStart w:id="29" w:name="_Ref193452985"/>
      <w:bookmarkStart w:id="30" w:name="_Toc196208743"/>
      <w:r w:rsidRPr="00A72724">
        <w:rPr>
          <w:rStyle w:val="Heading4Char"/>
        </w:rPr>
        <w:t>Industry</w:t>
      </w:r>
      <w:r>
        <w:t xml:space="preserve"> perspectives</w:t>
      </w:r>
      <w:bookmarkEnd w:id="27"/>
      <w:bookmarkEnd w:id="28"/>
      <w:bookmarkEnd w:id="29"/>
      <w:bookmarkEnd w:id="30"/>
      <w:r>
        <w:t xml:space="preserve"> </w:t>
      </w:r>
    </w:p>
    <w:p w14:paraId="6BDD1B68" w14:textId="1C87E5E3" w:rsidR="00B60D9F" w:rsidRPr="00A66853" w:rsidRDefault="00091458" w:rsidP="00B114DB">
      <w:pPr>
        <w:pStyle w:val="Heading3"/>
      </w:pPr>
      <w:r>
        <w:t>D</w:t>
      </w:r>
      <w:r w:rsidR="00B60D9F" w:rsidRPr="00A66853">
        <w:t xml:space="preserve">eposit takers </w:t>
      </w:r>
      <w:r>
        <w:t>have repor</w:t>
      </w:r>
      <w:r w:rsidR="00CD03D9">
        <w:t>t</w:t>
      </w:r>
      <w:r>
        <w:t xml:space="preserve">ed not </w:t>
      </w:r>
      <w:r w:rsidR="00B60D9F" w:rsidRPr="00A66853">
        <w:t>be</w:t>
      </w:r>
      <w:r>
        <w:t>ing</w:t>
      </w:r>
      <w:r w:rsidR="00B60D9F" w:rsidRPr="00A66853">
        <w:t xml:space="preserve"> able to solve access to banking issues on their own</w:t>
      </w:r>
    </w:p>
    <w:p w14:paraId="5087F909" w14:textId="78D13337" w:rsidR="00323EE9" w:rsidRDefault="00B60D9F" w:rsidP="00954C8C">
      <w:r>
        <w:t xml:space="preserve">Some deposit takers, particularly the largest banks in </w:t>
      </w:r>
      <w:r w:rsidR="004A4E2A">
        <w:t xml:space="preserve">Aotearoa </w:t>
      </w:r>
      <w:r>
        <w:t xml:space="preserve">New Zealand, have outlined their position on the topic of access to </w:t>
      </w:r>
      <w:r w:rsidR="00403AAF">
        <w:t>banking issues</w:t>
      </w:r>
      <w:r>
        <w:t xml:space="preserve"> as part of </w:t>
      </w:r>
      <w:r w:rsidR="00531BC2">
        <w:t xml:space="preserve">the </w:t>
      </w:r>
      <w:r>
        <w:t>consultation on the Market Study into Personal Banking Services</w:t>
      </w:r>
      <w:r w:rsidRPr="00F54092">
        <w:t>.</w:t>
      </w:r>
      <w:r w:rsidR="00B41687">
        <w:t xml:space="preserve"> </w:t>
      </w:r>
      <w:r>
        <w:t xml:space="preserve">Among the submissions, there is broad agreement </w:t>
      </w:r>
      <w:r w:rsidR="00C251A5">
        <w:t xml:space="preserve">on </w:t>
      </w:r>
      <w:r>
        <w:t xml:space="preserve">the need </w:t>
      </w:r>
      <w:r w:rsidR="00403AAF">
        <w:t>to improve access to transaction accounts</w:t>
      </w:r>
      <w:r>
        <w:t xml:space="preserve">, however, banks have reported some constraints that appear to be preventing </w:t>
      </w:r>
      <w:r w:rsidR="000410AE">
        <w:t>the deposit</w:t>
      </w:r>
      <w:r w:rsidR="00AF5864">
        <w:t>-</w:t>
      </w:r>
      <w:r w:rsidR="000410AE">
        <w:t>taking sector</w:t>
      </w:r>
      <w:r w:rsidR="004263DA">
        <w:t xml:space="preserve"> from collaborating to find possible solution</w:t>
      </w:r>
      <w:r w:rsidR="00E8007A">
        <w:t>s</w:t>
      </w:r>
      <w:r w:rsidR="004263DA">
        <w:t xml:space="preserve"> to access to banking issues</w:t>
      </w:r>
      <w:r>
        <w:t>.</w:t>
      </w:r>
      <w:r w:rsidR="00A7706E">
        <w:rPr>
          <w:rStyle w:val="FootnoteReference"/>
        </w:rPr>
        <w:footnoteReference w:id="48"/>
      </w:r>
      <w:r>
        <w:t xml:space="preserve"> </w:t>
      </w:r>
      <w:r w:rsidR="00FB73FC">
        <w:t>For example, competition rules were perceived by some banks as a barrier</w:t>
      </w:r>
      <w:r w:rsidR="001810D6">
        <w:t>,</w:t>
      </w:r>
      <w:r w:rsidR="00FB73FC">
        <w:t xml:space="preserve"> </w:t>
      </w:r>
      <w:r w:rsidR="001810D6">
        <w:t>as well as the</w:t>
      </w:r>
      <w:r w:rsidR="00366E1D">
        <w:t xml:space="preserve"> regulatory requirements under the </w:t>
      </w:r>
      <w:r w:rsidR="00A7706E" w:rsidRPr="00A7706E">
        <w:t xml:space="preserve">Anti-Money Laundering and Countering Financing of Terrorism </w:t>
      </w:r>
      <w:r w:rsidR="00A7706E">
        <w:t xml:space="preserve">(AML/CFT) </w:t>
      </w:r>
      <w:r w:rsidR="00A7706E" w:rsidRPr="00A7706E">
        <w:t>Act 2009</w:t>
      </w:r>
      <w:r w:rsidR="00A7706E">
        <w:t xml:space="preserve">. </w:t>
      </w:r>
    </w:p>
    <w:p w14:paraId="44D367B2" w14:textId="646D6D3C" w:rsidR="004B2A12" w:rsidRPr="004B2A12" w:rsidRDefault="00675C60" w:rsidP="00954C8C">
      <w:r>
        <w:t xml:space="preserve">Industry perspectives have been vital in contributing to an understanding of the barriers to transaction accounts and determining why a basic banking regime has not been taken up at scale by the banking industry to-date. As a result of our analysis and engagement with deposit takers in 2024 and early 2025, we find that it is unlikely that that the banking sector will be able to fully address this issue without some level of regulatory involvement, guidance, or encouragement to enable basic transaction accounts to be made widely available to customers that need them. </w:t>
      </w:r>
      <w:r w:rsidR="00C251A5">
        <w:t>T</w:t>
      </w:r>
      <w:r w:rsidR="002D39CB" w:rsidRPr="00E8007A">
        <w:t xml:space="preserve">his paper provides further information </w:t>
      </w:r>
      <w:r w:rsidR="00B068E5" w:rsidRPr="00E8007A">
        <w:t xml:space="preserve">on </w:t>
      </w:r>
      <w:r>
        <w:t xml:space="preserve">international approaches to make basic transaction accounts widely available and seeks input on opportunities for </w:t>
      </w:r>
      <w:r w:rsidR="00616618">
        <w:t>collective</w:t>
      </w:r>
      <w:r>
        <w:t xml:space="preserve"> solutions to this issue. </w:t>
      </w:r>
    </w:p>
    <w:p w14:paraId="1DFF8165" w14:textId="380DCAEC" w:rsidR="000A2E02" w:rsidRPr="007C14D9" w:rsidRDefault="000A2E02" w:rsidP="00B114DB">
      <w:pPr>
        <w:pStyle w:val="Heading1Numbered"/>
      </w:pPr>
      <w:bookmarkStart w:id="31" w:name="_Toc193437687"/>
      <w:bookmarkStart w:id="32" w:name="_Toc196208744"/>
      <w:bookmarkStart w:id="33" w:name="_Hlk178711968"/>
      <w:bookmarkStart w:id="34" w:name="_Toc174511856"/>
      <w:r w:rsidRPr="007C14D9">
        <w:lastRenderedPageBreak/>
        <w:t xml:space="preserve">International </w:t>
      </w:r>
      <w:r w:rsidR="00B83AF4">
        <w:t>e</w:t>
      </w:r>
      <w:r w:rsidRPr="007C14D9">
        <w:t>xperience</w:t>
      </w:r>
      <w:r w:rsidR="00B60D9F">
        <w:t>s</w:t>
      </w:r>
      <w:r w:rsidRPr="007C14D9">
        <w:t xml:space="preserve"> </w:t>
      </w:r>
      <w:r w:rsidR="00B60D9F">
        <w:t>with basic transaction accounts</w:t>
      </w:r>
      <w:bookmarkEnd w:id="31"/>
      <w:bookmarkEnd w:id="32"/>
    </w:p>
    <w:p w14:paraId="62D27CC8" w14:textId="2A3A3B47" w:rsidR="000A2E02" w:rsidRPr="007C14D9" w:rsidRDefault="000A2E02" w:rsidP="00954C8C">
      <w:r w:rsidRPr="007C14D9">
        <w:t xml:space="preserve">This section looks at the concept of basic transaction accounts in closer detail drawing on international evidence under two main topics: </w:t>
      </w:r>
    </w:p>
    <w:p w14:paraId="4009FEA4" w14:textId="066630A8" w:rsidR="000A2E02" w:rsidRPr="007C14D9" w:rsidRDefault="000A2E02" w:rsidP="00B114DB">
      <w:pPr>
        <w:pStyle w:val="ListBullet"/>
      </w:pPr>
      <w:r w:rsidRPr="000D4362">
        <w:rPr>
          <w:rStyle w:val="Emphasis"/>
        </w:rPr>
        <w:t>Definitions and design features:</w:t>
      </w:r>
      <w:r w:rsidRPr="007C14D9">
        <w:t xml:space="preserve"> analysis of what</w:t>
      </w:r>
      <w:r w:rsidR="00391A90">
        <w:t xml:space="preserve"> a </w:t>
      </w:r>
      <w:r w:rsidRPr="007C14D9">
        <w:t xml:space="preserve">basic transaction account </w:t>
      </w:r>
      <w:r w:rsidR="00391A90">
        <w:t>is</w:t>
      </w:r>
      <w:r w:rsidRPr="007C14D9">
        <w:t xml:space="preserve">, </w:t>
      </w:r>
      <w:r w:rsidR="00D85C41">
        <w:t>its</w:t>
      </w:r>
      <w:r w:rsidR="00D85C41" w:rsidRPr="007C14D9">
        <w:t xml:space="preserve"> </w:t>
      </w:r>
      <w:r w:rsidRPr="007C14D9">
        <w:t>features based on international best practice</w:t>
      </w:r>
      <w:r w:rsidR="0045793E">
        <w:t>,</w:t>
      </w:r>
      <w:r w:rsidRPr="007C14D9">
        <w:t xml:space="preserve"> and key design considerations. </w:t>
      </w:r>
    </w:p>
    <w:p w14:paraId="5A7AA854" w14:textId="5182FA06" w:rsidR="000A2E02" w:rsidRDefault="00F54092" w:rsidP="00B114DB">
      <w:pPr>
        <w:pStyle w:val="ListBullet"/>
      </w:pPr>
      <w:r w:rsidRPr="000D4362">
        <w:rPr>
          <w:rStyle w:val="Emphasis"/>
        </w:rPr>
        <w:t>P</w:t>
      </w:r>
      <w:r w:rsidR="000A2E02" w:rsidRPr="000D4362">
        <w:rPr>
          <w:rStyle w:val="Emphasis"/>
        </w:rPr>
        <w:t>olicies and initiatives that facilitate access to basic transaction accounts:</w:t>
      </w:r>
      <w:r w:rsidR="000A2E02" w:rsidRPr="007C14D9">
        <w:rPr>
          <w:b/>
          <w:bCs/>
        </w:rPr>
        <w:t xml:space="preserve"> </w:t>
      </w:r>
      <w:r w:rsidR="000A2E02" w:rsidRPr="007C14D9">
        <w:t xml:space="preserve">analysis of global efforts that have aimed to ensure that basic transaction accounts are provided widely to unbanked customer groups through </w:t>
      </w:r>
      <w:r>
        <w:t xml:space="preserve">collaboration and </w:t>
      </w:r>
      <w:r w:rsidR="000A2E02" w:rsidRPr="007C14D9">
        <w:t>incentives</w:t>
      </w:r>
      <w:r>
        <w:t>, industry leadership</w:t>
      </w:r>
      <w:r w:rsidR="000A2E02" w:rsidRPr="007C14D9">
        <w:t xml:space="preserve"> </w:t>
      </w:r>
      <w:r>
        <w:t>or</w:t>
      </w:r>
      <w:r w:rsidR="000A2E02" w:rsidRPr="007C14D9">
        <w:t xml:space="preserve"> regulatory mandates.</w:t>
      </w:r>
    </w:p>
    <w:p w14:paraId="47A647CC" w14:textId="260D453E" w:rsidR="00DC233A" w:rsidRDefault="000A2E02" w:rsidP="00954C8C">
      <w:r w:rsidRPr="007C14D9">
        <w:t xml:space="preserve">Exploring international best practice in this field aims to provide a strong foundation for understanding opportunities in </w:t>
      </w:r>
      <w:r w:rsidR="001C2A18">
        <w:t xml:space="preserve">Aotearoa </w:t>
      </w:r>
      <w:r w:rsidRPr="007C14D9">
        <w:t>New Zealand.</w:t>
      </w:r>
    </w:p>
    <w:p w14:paraId="1BF9D0C4" w14:textId="77777777" w:rsidR="00616618" w:rsidRDefault="00616618" w:rsidP="00954C8C"/>
    <w:tbl>
      <w:tblPr>
        <w:tblStyle w:val="SectionSummary"/>
        <w:tblW w:w="0" w:type="auto"/>
        <w:tblLook w:val="0600" w:firstRow="0" w:lastRow="0" w:firstColumn="0" w:lastColumn="0" w:noHBand="1" w:noVBand="1"/>
      </w:tblPr>
      <w:tblGrid>
        <w:gridCol w:w="9060"/>
      </w:tblGrid>
      <w:tr w:rsidR="00B114DB" w14:paraId="2EE0C29C" w14:textId="77777777" w:rsidTr="00FB2AD0">
        <w:tc>
          <w:tcPr>
            <w:tcW w:w="9060" w:type="dxa"/>
          </w:tcPr>
          <w:p w14:paraId="07E31C59" w14:textId="77777777" w:rsidR="00B114DB" w:rsidRPr="00A30414" w:rsidRDefault="00B114DB" w:rsidP="00FB2AD0">
            <w:pPr>
              <w:pStyle w:val="HighlightSectionCaseStudyHeading"/>
            </w:pPr>
            <w:r>
              <w:t>Section summary</w:t>
            </w:r>
          </w:p>
          <w:p w14:paraId="2EC33CDA" w14:textId="2B502157" w:rsidR="00B114DB" w:rsidRPr="00FB2AD0" w:rsidRDefault="00B114DB" w:rsidP="00FB2AD0">
            <w:pPr>
              <w:pStyle w:val="ListBullet"/>
            </w:pPr>
            <w:r w:rsidRPr="00FB2AD0">
              <w:t xml:space="preserve">Basic or simplified transaction accounts are a widely used policy tool for promoting financial inclusion. Basic transaction accounts </w:t>
            </w:r>
            <w:r w:rsidR="00C251A5">
              <w:t>aim to</w:t>
            </w:r>
            <w:r w:rsidRPr="00FB2AD0">
              <w:t xml:space="preserve"> provid</w:t>
            </w:r>
            <w:r w:rsidR="00C251A5">
              <w:t>e</w:t>
            </w:r>
            <w:r w:rsidRPr="00FB2AD0">
              <w:t xml:space="preserve"> basic banking services to financially excluded customers. </w:t>
            </w:r>
          </w:p>
          <w:p w14:paraId="13024BB8" w14:textId="77777777" w:rsidR="00B114DB" w:rsidRPr="00FB2AD0" w:rsidRDefault="00B114DB" w:rsidP="00FB2AD0">
            <w:pPr>
              <w:pStyle w:val="ListBullet"/>
            </w:pPr>
            <w:r w:rsidRPr="00FB2AD0">
              <w:t xml:space="preserve">Basic transaction accounts are often designed to be accessible, affordable, simple to open and manage, but with reduced functionality to reduce risks associated with credit or the financing of criminal activities. </w:t>
            </w:r>
          </w:p>
          <w:p w14:paraId="5A1F811F" w14:textId="0E4FD9B3" w:rsidR="00B114DB" w:rsidRPr="00FB2AD0" w:rsidRDefault="00B114DB" w:rsidP="007031DD">
            <w:pPr>
              <w:pStyle w:val="ListBullet"/>
              <w:keepLines/>
            </w:pPr>
            <w:r w:rsidRPr="00FB2AD0">
              <w:t>We have analysed three different approaches that have been taken in other jurisdictions to promote the widespread availability of transaction accounts: regulatory approaches, industry</w:t>
            </w:r>
            <w:r w:rsidR="00ED3A06">
              <w:t>-</w:t>
            </w:r>
            <w:r w:rsidRPr="00FB2AD0">
              <w:t xml:space="preserve">led approaches, and a hybrid model with collaboration between regulators and the banking sector to streamline customer onboarding for basic transaction accounts through AML/CFT tiering. </w:t>
            </w:r>
          </w:p>
          <w:p w14:paraId="45D8F2A0" w14:textId="66261272" w:rsidR="00B114DB" w:rsidRPr="00B114DB" w:rsidRDefault="00B114DB" w:rsidP="00FB2AD0">
            <w:pPr>
              <w:pStyle w:val="ListBullet"/>
              <w:spacing w:after="0"/>
            </w:pPr>
            <w:r w:rsidRPr="00FB2AD0">
              <w:t xml:space="preserve">International findings are relevant in the New Zealand context, noting that further engagement and consultation is required to consider an appropriate response that reflects New Zealand’s features and characteristics. </w:t>
            </w:r>
          </w:p>
        </w:tc>
      </w:tr>
    </w:tbl>
    <w:p w14:paraId="59FB8853" w14:textId="2F9CCAF8" w:rsidR="00616618" w:rsidRDefault="00616618" w:rsidP="00616618">
      <w:bookmarkStart w:id="35" w:name="_Toc193437688"/>
    </w:p>
    <w:p w14:paraId="2D234A5C" w14:textId="77777777" w:rsidR="00616618" w:rsidRDefault="00616618">
      <w:pPr>
        <w:spacing w:after="160" w:line="259" w:lineRule="auto"/>
        <w:rPr>
          <w:rFonts w:ascii="Segoe UI Semibold" w:hAnsi="Segoe UI Semibold" w:cs="Segoe UI Semibold"/>
          <w:color w:val="6B2A7F" w:themeColor="accent3"/>
          <w:sz w:val="26"/>
          <w:szCs w:val="26"/>
        </w:rPr>
      </w:pPr>
      <w:r>
        <w:br w:type="page"/>
      </w:r>
    </w:p>
    <w:p w14:paraId="29C13312" w14:textId="720F8F5B" w:rsidR="000A2E02" w:rsidRPr="007C14D9" w:rsidRDefault="000A2E02" w:rsidP="00B114DB">
      <w:pPr>
        <w:pStyle w:val="Heading2Numbered"/>
      </w:pPr>
      <w:bookmarkStart w:id="36" w:name="_Toc196208745"/>
      <w:r w:rsidRPr="007C14D9">
        <w:lastRenderedPageBreak/>
        <w:t>Definitions and design features</w:t>
      </w:r>
      <w:bookmarkEnd w:id="35"/>
      <w:bookmarkEnd w:id="36"/>
      <w:r w:rsidRPr="007C14D9">
        <w:t xml:space="preserve"> </w:t>
      </w:r>
    </w:p>
    <w:p w14:paraId="712FED94" w14:textId="77777777" w:rsidR="00616618" w:rsidRPr="00AD0506" w:rsidRDefault="00616618" w:rsidP="00616618">
      <w:pPr>
        <w:pStyle w:val="Heading3"/>
      </w:pPr>
      <w:r w:rsidRPr="00AD0506">
        <w:t xml:space="preserve">Access to transaction accounts is </w:t>
      </w:r>
      <w:r w:rsidRPr="00AD0506">
        <w:rPr>
          <w:bCs/>
        </w:rPr>
        <w:t>a key focus area</w:t>
      </w:r>
      <w:r w:rsidRPr="00AD0506">
        <w:t xml:space="preserve"> for financial regulators internationally </w:t>
      </w:r>
    </w:p>
    <w:p w14:paraId="00D73BCF" w14:textId="59CAA6A6" w:rsidR="00616618" w:rsidRPr="00616618" w:rsidRDefault="00616618" w:rsidP="00616618">
      <w:r>
        <w:t>There has been</w:t>
      </w:r>
      <w:r w:rsidRPr="007C14D9">
        <w:t xml:space="preserve"> significant progress</w:t>
      </w:r>
      <w:r>
        <w:t xml:space="preserve"> </w:t>
      </w:r>
      <w:r w:rsidRPr="007C14D9">
        <w:t>in reducing the number of unbanked adults worldwide. From 2011 to 2021, the number of adults without access to a transaction account decreased from approximately 2.5 billion to 1.4 billion, resulting in 76</w:t>
      </w:r>
      <w:r>
        <w:t>.0</w:t>
      </w:r>
      <w:r w:rsidRPr="007C14D9">
        <w:t>% of the world's adult population now having access to formal financial services.</w:t>
      </w:r>
      <w:r>
        <w:rPr>
          <w:rStyle w:val="FootnoteReference"/>
        </w:rPr>
        <w:footnoteReference w:id="49"/>
      </w:r>
      <w:r w:rsidRPr="007C14D9">
        <w:t xml:space="preserve"> This improvement can be attributed to a multifaceted approach that leverages digital financial services, national financial inclusion strategies, promotion of financial literacy, and creating enabling policy and regulatory environments</w:t>
      </w:r>
      <w:r>
        <w:t xml:space="preserve"> to support financial inclusion such as the establishment of basic transaction accounts</w:t>
      </w:r>
      <w:r w:rsidRPr="007C14D9">
        <w:t>.</w:t>
      </w:r>
      <w:r w:rsidRPr="007C14D9">
        <w:rPr>
          <w:rStyle w:val="FootnoteReference"/>
        </w:rPr>
        <w:footnoteReference w:id="50"/>
      </w:r>
      <w:r w:rsidRPr="007C14D9">
        <w:t xml:space="preserve"> While financial regulators have various tools at their disposal to enhance access to transaction accounts, this Issues Paper focuses specifically on the concept and potential benefits </w:t>
      </w:r>
      <w:r>
        <w:t>and limitations</w:t>
      </w:r>
      <w:r w:rsidRPr="007C14D9">
        <w:t xml:space="preserve"> of basic or simplified transaction accounts as a policy instrument for advancing financial inclusion</w:t>
      </w:r>
      <w:r>
        <w:t>.</w:t>
      </w:r>
    </w:p>
    <w:p w14:paraId="73D0F6AD" w14:textId="1700DE06" w:rsidR="000A2E02" w:rsidRPr="007C14D9" w:rsidRDefault="000A2E02" w:rsidP="00B114DB">
      <w:pPr>
        <w:pStyle w:val="Heading3"/>
      </w:pPr>
      <w:r w:rsidRPr="007C14D9">
        <w:t xml:space="preserve">Basic transaction accounts play a role in meeting the needs of unbanked communities  </w:t>
      </w:r>
    </w:p>
    <w:p w14:paraId="32945371" w14:textId="5DD6C210" w:rsidR="000A2E02" w:rsidRPr="007C14D9" w:rsidRDefault="000A2E02" w:rsidP="00B114DB">
      <w:r w:rsidRPr="007C14D9">
        <w:t>There are a range of terms used to describe basic transaction accounts. Common terminologies can include basic bank accounts, simplified bank accounts,</w:t>
      </w:r>
      <w:r w:rsidRPr="007C14D9">
        <w:rPr>
          <w:rStyle w:val="FootnoteReference"/>
        </w:rPr>
        <w:footnoteReference w:id="51"/>
      </w:r>
      <w:r w:rsidRPr="007C14D9">
        <w:t xml:space="preserve"> basic payment accounts, basic transaction accounts, no-frill accounts and universal bank accounts.</w:t>
      </w:r>
      <w:r w:rsidRPr="007C14D9">
        <w:rPr>
          <w:rStyle w:val="FootnoteReference"/>
        </w:rPr>
        <w:footnoteReference w:id="52"/>
      </w:r>
      <w:r w:rsidRPr="007C14D9">
        <w:t xml:space="preserve"> While the language can vary between countries, there are common features in the role such accounts can play in promoting financial inclusion. </w:t>
      </w:r>
    </w:p>
    <w:p w14:paraId="488F5A7B" w14:textId="3B663E41" w:rsidR="00F66349" w:rsidRDefault="000A2E02" w:rsidP="00B114DB">
      <w:r w:rsidRPr="007C14D9">
        <w:t>Basic transaction accounts are designed to provide basic banking services to individuals who may have difficulty accessing traditional banking services.</w:t>
      </w:r>
      <w:r w:rsidRPr="007C14D9">
        <w:rPr>
          <w:rStyle w:val="FootnoteReference"/>
        </w:rPr>
        <w:footnoteReference w:id="53"/>
      </w:r>
      <w:r w:rsidR="006A1CE5">
        <w:t xml:space="preserve"> </w:t>
      </w:r>
      <w:r w:rsidRPr="007C14D9">
        <w:t xml:space="preserve">This includes individuals </w:t>
      </w:r>
      <w:r w:rsidR="2E03856D" w:rsidRPr="007C14D9">
        <w:t xml:space="preserve">such as those </w:t>
      </w:r>
      <w:r w:rsidRPr="007C14D9">
        <w:t xml:space="preserve">who have a low income or a poor credit history, are new to a country, or who live in rural or remote areas. </w:t>
      </w:r>
      <w:r w:rsidR="00895289">
        <w:t>Basic transaction accounts are generally designed for customers who are financially excluded or do not already have a transaction account, rather than people who already have one or more transaction account</w:t>
      </w:r>
      <w:r w:rsidR="00C251A5">
        <w:t>s</w:t>
      </w:r>
      <w:r w:rsidR="00895289">
        <w:t>.</w:t>
      </w:r>
      <w:r w:rsidR="00895289">
        <w:rPr>
          <w:rStyle w:val="FootnoteReference"/>
        </w:rPr>
        <w:footnoteReference w:id="54"/>
      </w:r>
      <w:r w:rsidR="00895289">
        <w:t xml:space="preserve"> </w:t>
      </w:r>
      <w:r w:rsidRPr="007C14D9">
        <w:t>The high-level principles that</w:t>
      </w:r>
      <w:r w:rsidR="00345F9F">
        <w:t xml:space="preserve"> can</w:t>
      </w:r>
      <w:r w:rsidRPr="007C14D9">
        <w:t xml:space="preserve"> underpin basic transaction accounts </w:t>
      </w:r>
      <w:r w:rsidRPr="00F54092">
        <w:t xml:space="preserve">generally are </w:t>
      </w:r>
      <w:r w:rsidRPr="00F54092">
        <w:rPr>
          <w:i/>
          <w:iCs/>
        </w:rPr>
        <w:t xml:space="preserve">accessibility, affordability, provision of basic services, simple to open and manage, reduced </w:t>
      </w:r>
      <w:r w:rsidRPr="00B41687">
        <w:rPr>
          <w:i/>
          <w:iCs/>
        </w:rPr>
        <w:t>functionality.</w:t>
      </w:r>
      <w:r w:rsidR="003F48EE" w:rsidRPr="00B41687">
        <w:rPr>
          <w:i/>
          <w:iCs/>
        </w:rPr>
        <w:t xml:space="preserve"> </w:t>
      </w:r>
      <w:r w:rsidR="000C5BAC" w:rsidRPr="00B41687">
        <w:rPr>
          <w:rStyle w:val="Emphasis"/>
        </w:rPr>
        <w:t xml:space="preserve">Figure </w:t>
      </w:r>
      <w:r w:rsidR="00C251A5">
        <w:rPr>
          <w:rStyle w:val="Emphasis"/>
        </w:rPr>
        <w:t>2</w:t>
      </w:r>
      <w:r w:rsidR="00F66349" w:rsidRPr="00B41687">
        <w:rPr>
          <w:rStyle w:val="Emphasis"/>
        </w:rPr>
        <w:t xml:space="preserve"> </w:t>
      </w:r>
      <w:r w:rsidR="000C5BAC" w:rsidRPr="00B41687">
        <w:t>below v</w:t>
      </w:r>
      <w:r w:rsidR="0098530C" w:rsidRPr="00B41687">
        <w:t xml:space="preserve">isualises </w:t>
      </w:r>
      <w:r w:rsidR="00345F9F" w:rsidRPr="00B41687">
        <w:t>how a basic transaction account can offer an alternative</w:t>
      </w:r>
      <w:r w:rsidR="008C71F8" w:rsidRPr="00B41687">
        <w:t xml:space="preserve"> pathway for customers</w:t>
      </w:r>
      <w:r w:rsidR="006F393B" w:rsidRPr="00B41687">
        <w:t xml:space="preserve"> to open transaction accounts</w:t>
      </w:r>
      <w:r w:rsidR="008C71F8" w:rsidRPr="00B41687">
        <w:t xml:space="preserve"> who are not able to open </w:t>
      </w:r>
      <w:r w:rsidR="00CB26E9" w:rsidRPr="00B41687">
        <w:t>standard</w:t>
      </w:r>
      <w:r w:rsidR="008C71F8" w:rsidRPr="00B41687">
        <w:t xml:space="preserve"> transaction accounts.</w:t>
      </w:r>
      <w:r w:rsidR="008C71F8" w:rsidRPr="00F54092">
        <w:t xml:space="preserve"> </w:t>
      </w:r>
    </w:p>
    <w:p w14:paraId="50F6FA3C" w14:textId="0559EFEE" w:rsidR="00F66349" w:rsidRDefault="00F66349" w:rsidP="00F66349">
      <w:pPr>
        <w:spacing w:after="160" w:line="259" w:lineRule="auto"/>
        <w:sectPr w:rsidR="00F66349" w:rsidSect="00746B3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624" w:gutter="0"/>
          <w:pgNumType w:start="0"/>
          <w:cols w:space="708"/>
          <w:titlePg/>
          <w:docGrid w:linePitch="360"/>
        </w:sectPr>
      </w:pPr>
    </w:p>
    <w:p w14:paraId="1A489D96" w14:textId="4924B807" w:rsidR="00262CAF" w:rsidRDefault="00262CAF" w:rsidP="00F66349">
      <w:pPr>
        <w:spacing w:after="160" w:line="259" w:lineRule="auto"/>
        <w:rPr>
          <w:b/>
          <w:bCs/>
        </w:rPr>
        <w:sectPr w:rsidR="00262CAF" w:rsidSect="00A50C2C">
          <w:headerReference w:type="first" r:id="rId21"/>
          <w:pgSz w:w="16838" w:h="11906" w:orient="landscape"/>
          <w:pgMar w:top="1418" w:right="1418" w:bottom="1418" w:left="1418" w:header="567" w:footer="624" w:gutter="0"/>
          <w:pgNumType w:start="18"/>
          <w:cols w:space="708"/>
          <w:titlePg/>
          <w:docGrid w:linePitch="360"/>
        </w:sectPr>
      </w:pPr>
    </w:p>
    <w:p w14:paraId="46B533DF" w14:textId="60159020" w:rsidR="00CC295F" w:rsidRDefault="00F66349" w:rsidP="0053062C">
      <w:pPr>
        <w:pStyle w:val="Caption"/>
      </w:pPr>
      <w:bookmarkStart w:id="37" w:name="_Toc195096948"/>
      <w:r>
        <w:t xml:space="preserve">Figure </w:t>
      </w:r>
      <w:r w:rsidR="0053062C">
        <w:fldChar w:fldCharType="begin"/>
      </w:r>
      <w:r w:rsidR="0053062C">
        <w:instrText xml:space="preserve"> SEQ Figure \* ARABIC </w:instrText>
      </w:r>
      <w:r w:rsidR="0053062C">
        <w:fldChar w:fldCharType="separate"/>
      </w:r>
      <w:r w:rsidR="00DA348C">
        <w:rPr>
          <w:noProof/>
        </w:rPr>
        <w:t>2</w:t>
      </w:r>
      <w:r w:rsidR="0053062C">
        <w:fldChar w:fldCharType="end"/>
      </w:r>
      <w:r>
        <w:t xml:space="preserve">: </w:t>
      </w:r>
      <w:r w:rsidR="00BD6F26">
        <w:t>B</w:t>
      </w:r>
      <w:r>
        <w:t>asic transaction accounts as a simplified pathway to access basic banking services</w:t>
      </w:r>
      <w:bookmarkEnd w:id="37"/>
    </w:p>
    <w:p w14:paraId="1987F0AB" w14:textId="7E9CD199" w:rsidR="00D5423A" w:rsidRDefault="00C251A5" w:rsidP="00616618">
      <w:pPr>
        <w:spacing w:after="160" w:line="259" w:lineRule="auto"/>
      </w:pPr>
      <w:r>
        <w:rPr>
          <w:noProof/>
          <w14:ligatures w14:val="standardContextual"/>
        </w:rPr>
        <w:drawing>
          <wp:inline distT="0" distB="0" distL="0" distR="0" wp14:anchorId="6121D071" wp14:editId="05021337">
            <wp:extent cx="8891270" cy="4330700"/>
            <wp:effectExtent l="0" t="0" r="5080" b="0"/>
            <wp:docPr id="125731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13131" name=""/>
                    <pic:cNvPicPr/>
                  </pic:nvPicPr>
                  <pic:blipFill>
                    <a:blip r:embed="rId22"/>
                    <a:stretch>
                      <a:fillRect/>
                    </a:stretch>
                  </pic:blipFill>
                  <pic:spPr>
                    <a:xfrm>
                      <a:off x="0" y="0"/>
                      <a:ext cx="8891270" cy="4330700"/>
                    </a:xfrm>
                    <a:prstGeom prst="rect">
                      <a:avLst/>
                    </a:prstGeom>
                  </pic:spPr>
                </pic:pic>
              </a:graphicData>
            </a:graphic>
          </wp:inline>
        </w:drawing>
      </w:r>
    </w:p>
    <w:p w14:paraId="5B15EEC8" w14:textId="162F31CC" w:rsidR="00D05598" w:rsidRPr="004A57F9" w:rsidRDefault="00D5423A" w:rsidP="00D5423A">
      <w:pPr>
        <w:pStyle w:val="Caption"/>
        <w:spacing w:before="0" w:after="0"/>
        <w:contextualSpacing/>
        <w:rPr>
          <w:sz w:val="16"/>
          <w:szCs w:val="16"/>
        </w:rPr>
        <w:sectPr w:rsidR="00D05598" w:rsidRPr="004A57F9" w:rsidSect="00262CAF">
          <w:type w:val="continuous"/>
          <w:pgSz w:w="16838" w:h="11906" w:orient="landscape"/>
          <w:pgMar w:top="1418" w:right="1418" w:bottom="1418" w:left="1418" w:header="567" w:footer="624" w:gutter="0"/>
          <w:pgNumType w:start="0"/>
          <w:cols w:space="708"/>
          <w:titlePg/>
          <w:docGrid w:linePitch="360"/>
        </w:sectPr>
      </w:pPr>
      <w:r w:rsidRPr="004A57F9">
        <w:rPr>
          <w:sz w:val="16"/>
          <w:szCs w:val="16"/>
        </w:rPr>
        <w:t>Source: authors’ own</w:t>
      </w:r>
      <w:r w:rsidR="004A57F9" w:rsidRPr="004A57F9">
        <w:rPr>
          <w:sz w:val="16"/>
          <w:szCs w:val="16"/>
        </w:rPr>
        <w:t>, adapted from the World Bank Gateway to Financial Inclusion Infographic.</w:t>
      </w:r>
      <w:r w:rsidR="004A57F9" w:rsidRPr="004A57F9">
        <w:rPr>
          <w:rStyle w:val="FootnoteReference"/>
          <w:sz w:val="16"/>
          <w:szCs w:val="16"/>
        </w:rPr>
        <w:footnoteReference w:id="55"/>
      </w:r>
    </w:p>
    <w:p w14:paraId="063046B6" w14:textId="5F963614" w:rsidR="000A2E02" w:rsidRPr="00D75763" w:rsidRDefault="00D75763" w:rsidP="00D75763">
      <w:pPr>
        <w:rPr>
          <w:rStyle w:val="Heading3Char"/>
        </w:rPr>
      </w:pPr>
      <w:r w:rsidRPr="00D75763">
        <w:rPr>
          <w:rStyle w:val="Heading3Char"/>
          <w:noProof/>
        </w:rPr>
        <w:lastRenderedPageBreak/>
        <mc:AlternateContent>
          <mc:Choice Requires="wps">
            <w:drawing>
              <wp:anchor distT="45720" distB="45720" distL="114300" distR="114300" simplePos="0" relativeHeight="251662337" behindDoc="0" locked="0" layoutInCell="1" allowOverlap="1" wp14:anchorId="7F7C537D" wp14:editId="4248D57E">
                <wp:simplePos x="0" y="0"/>
                <wp:positionH relativeFrom="margin">
                  <wp:align>left</wp:align>
                </wp:positionH>
                <wp:positionV relativeFrom="paragraph">
                  <wp:posOffset>414</wp:posOffset>
                </wp:positionV>
                <wp:extent cx="5748655" cy="914400"/>
                <wp:effectExtent l="0" t="0" r="23495" b="19050"/>
                <wp:wrapSquare wrapText="bothSides"/>
                <wp:docPr id="1282992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914400"/>
                        </a:xfrm>
                        <a:prstGeom prst="rect">
                          <a:avLst/>
                        </a:prstGeom>
                        <a:solidFill>
                          <a:schemeClr val="bg1">
                            <a:lumMod val="95000"/>
                          </a:schemeClr>
                        </a:solidFill>
                        <a:ln w="9525">
                          <a:solidFill>
                            <a:srgbClr val="000000"/>
                          </a:solidFill>
                          <a:miter lim="800000"/>
                          <a:headEnd/>
                          <a:tailEnd/>
                        </a:ln>
                      </wps:spPr>
                      <wps:txbx>
                        <w:txbxContent>
                          <w:p w14:paraId="67EC1C7F" w14:textId="081D5422" w:rsidR="00D75763" w:rsidRPr="00D75763" w:rsidRDefault="00D75763" w:rsidP="00D75763">
                            <w:r w:rsidRPr="00D75763">
                              <w:rPr>
                                <w:b/>
                                <w:bCs/>
                              </w:rPr>
                              <w:t xml:space="preserve">Figure </w:t>
                            </w:r>
                            <w:r>
                              <w:rPr>
                                <w:b/>
                                <w:bCs/>
                              </w:rPr>
                              <w:t>2</w:t>
                            </w:r>
                            <w:r w:rsidRPr="00D75763">
                              <w:rPr>
                                <w:b/>
                                <w:bCs/>
                              </w:rPr>
                              <w:t xml:space="preserve"> chart text alternative</w:t>
                            </w:r>
                            <w:r w:rsidRPr="00D75763">
                              <w:t xml:space="preserve">: </w:t>
                            </w:r>
                            <w:r>
                              <w:t xml:space="preserve">This diagram shows an alternative onboarding pathway for a basic transaction account. This diagram highlights that basic transaction accounts can offer an alternative, low risk product which can make the process of accessing basic banking services easier for both consumers and front-line banking staff.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C537D" id="_x0000_s1027" type="#_x0000_t202" style="position:absolute;margin-left:0;margin-top:.05pt;width:452.65pt;height:1in;z-index:251662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" fillcolor="#f2f2f2 [3052]">
                <v:textbox>
                  <w:txbxContent>
                    <w:p w14:paraId="67EC1C7F" w14:textId="081D5422" w:rsidR="00D75763" w:rsidRPr="00D75763" w:rsidRDefault="00D75763" w:rsidP="00D75763">
                      <w:r w:rsidRPr="00D75763">
                        <w:rPr>
                          <w:b/>
                          <w:bCs/>
                        </w:rPr>
                        <w:t xml:space="preserve">Figure </w:t>
                      </w:r>
                      <w:r>
                        <w:rPr>
                          <w:b/>
                          <w:bCs/>
                        </w:rPr>
                        <w:t>2</w:t>
                      </w:r>
                      <w:r w:rsidRPr="00D75763">
                        <w:rPr>
                          <w:b/>
                          <w:bCs/>
                        </w:rPr>
                        <w:t xml:space="preserve"> chart text alternative</w:t>
                      </w:r>
                      <w:r w:rsidRPr="00D75763">
                        <w:t xml:space="preserve">: </w:t>
                      </w:r>
                      <w:r>
                        <w:t xml:space="preserve">This diagram shows an alternative onboarding pathway for a basic transaction account. This diagram highlights that basic transaction accounts can offer an alternative, low risk product which can make the process of accessing basic banking services easier for both consumers and front-line banking staff. </w:t>
                      </w:r>
                    </w:p>
                  </w:txbxContent>
                </v:textbox>
                <w10:wrap type="square" anchorx="margin"/>
              </v:shape>
            </w:pict>
          </mc:Fallback>
        </mc:AlternateContent>
      </w:r>
      <w:r w:rsidR="000A2E02" w:rsidRPr="00D75763">
        <w:rPr>
          <w:rStyle w:val="Heading3Char"/>
        </w:rPr>
        <w:t>Features</w:t>
      </w:r>
      <w:r w:rsidR="000A2E02" w:rsidRPr="00F54092">
        <w:t xml:space="preserve"> </w:t>
      </w:r>
      <w:r w:rsidR="000A2E02" w:rsidRPr="00D75763">
        <w:rPr>
          <w:rStyle w:val="Heading3Char"/>
        </w:rPr>
        <w:t xml:space="preserve">of basic transaction accounts in other jurisdictions </w:t>
      </w:r>
    </w:p>
    <w:p w14:paraId="05155B9C" w14:textId="3D73BD3A" w:rsidR="000A2E02" w:rsidRPr="007C14D9" w:rsidRDefault="000A2E02" w:rsidP="00B114DB">
      <w:r w:rsidRPr="007C14D9">
        <w:t xml:space="preserve">Drawing from international </w:t>
      </w:r>
      <w:r w:rsidR="00092D29">
        <w:t>approaches</w:t>
      </w:r>
      <w:r w:rsidRPr="007C14D9">
        <w:t xml:space="preserve"> and the World Bank's Global Payment Systems Survey, basic transaction accounts are widely used to promote financial inclusion. Out of 95 countries that responded to the survey, 79 countries (83%) reported the existence of basic transaction accounts as a means of supporting financial inclusion and providing payment services to financially excluded communities with some common features such as those outlined in </w:t>
      </w:r>
      <w:r w:rsidRPr="00C251A5">
        <w:rPr>
          <w:b/>
          <w:bCs/>
        </w:rPr>
        <w:t>Table 1</w:t>
      </w:r>
      <w:r w:rsidRPr="007C14D9">
        <w:t>.</w:t>
      </w:r>
      <w:r w:rsidR="005C3EC2">
        <w:rPr>
          <w:rStyle w:val="FootnoteReference"/>
        </w:rPr>
        <w:footnoteReference w:id="56"/>
      </w:r>
      <w:r w:rsidRPr="007C14D9">
        <w:t xml:space="preserve"> </w:t>
      </w:r>
    </w:p>
    <w:p w14:paraId="2D58EAEE" w14:textId="5BAEE788" w:rsidR="00B114DB" w:rsidRDefault="00B114DB" w:rsidP="00B114DB">
      <w:pPr>
        <w:pStyle w:val="Caption"/>
      </w:pPr>
      <w:bookmarkStart w:id="38" w:name="_Toc195096981"/>
      <w:r>
        <w:t xml:space="preserve">Table </w:t>
      </w:r>
      <w:r w:rsidR="00FB2AD0">
        <w:fldChar w:fldCharType="begin"/>
      </w:r>
      <w:r w:rsidR="00FB2AD0">
        <w:instrText xml:space="preserve"> SEQ Table \* ARABIC </w:instrText>
      </w:r>
      <w:r w:rsidR="00FB2AD0">
        <w:fldChar w:fldCharType="separate"/>
      </w:r>
      <w:r w:rsidR="00DA348C">
        <w:rPr>
          <w:noProof/>
        </w:rPr>
        <w:t>1</w:t>
      </w:r>
      <w:r w:rsidR="00FB2AD0">
        <w:rPr>
          <w:noProof/>
        </w:rPr>
        <w:fldChar w:fldCharType="end"/>
      </w:r>
      <w:r>
        <w:t xml:space="preserve">: </w:t>
      </w:r>
      <w:r w:rsidRPr="00013986">
        <w:t>International commonalities in the features of basic transaction accounts</w:t>
      </w:r>
      <w:bookmarkEnd w:id="38"/>
      <w:r w:rsidRPr="00013986">
        <w:t xml:space="preserve"> </w:t>
      </w:r>
    </w:p>
    <w:tbl>
      <w:tblPr>
        <w:tblStyle w:val="CoFR"/>
        <w:tblW w:w="5000" w:type="pct"/>
        <w:tblLook w:val="06A0" w:firstRow="1" w:lastRow="0" w:firstColumn="1" w:lastColumn="0" w:noHBand="1" w:noVBand="1"/>
      </w:tblPr>
      <w:tblGrid>
        <w:gridCol w:w="2160"/>
        <w:gridCol w:w="6910"/>
      </w:tblGrid>
      <w:tr w:rsidR="000A2E02" w:rsidRPr="00B114DB" w14:paraId="3DF56EC1" w14:textId="77777777" w:rsidTr="000D4362">
        <w:trPr>
          <w:cnfStyle w:val="100000000000" w:firstRow="1" w:lastRow="0" w:firstColumn="0" w:lastColumn="0" w:oddVBand="0" w:evenVBand="0" w:oddHBand="0" w:evenHBand="0" w:firstRowFirstColumn="0" w:firstRowLastColumn="0" w:lastRowFirstColumn="0" w:lastRowLastColumn="0"/>
          <w:trHeight w:val="376"/>
        </w:trPr>
        <w:tc>
          <w:tcPr>
            <w:tcW w:w="1191" w:type="pct"/>
          </w:tcPr>
          <w:p w14:paraId="7783ECB5" w14:textId="77777777" w:rsidR="000A2E02" w:rsidRPr="00B114DB" w:rsidRDefault="000A2E02" w:rsidP="002A1751">
            <w:pPr>
              <w:spacing w:beforeLines="0" w:afterLines="0" w:after="60"/>
            </w:pPr>
            <w:r w:rsidRPr="00B114DB">
              <w:t>Principles</w:t>
            </w:r>
          </w:p>
        </w:tc>
        <w:tc>
          <w:tcPr>
            <w:tcW w:w="3809" w:type="pct"/>
            <w:hideMark/>
          </w:tcPr>
          <w:p w14:paraId="1B1CE121" w14:textId="77777777" w:rsidR="000A2E02" w:rsidRPr="00B114DB" w:rsidRDefault="000A2E02" w:rsidP="002A1751">
            <w:pPr>
              <w:spacing w:beforeLines="0" w:afterLines="0" w:after="60"/>
            </w:pPr>
            <w:r w:rsidRPr="00B114DB">
              <w:t xml:space="preserve">Design Features </w:t>
            </w:r>
          </w:p>
        </w:tc>
      </w:tr>
      <w:tr w:rsidR="000A2E02" w:rsidRPr="00B114DB" w14:paraId="19DD812E" w14:textId="77777777" w:rsidTr="000D4362">
        <w:trPr>
          <w:trHeight w:val="640"/>
        </w:trPr>
        <w:tc>
          <w:tcPr>
            <w:tcW w:w="1191" w:type="pct"/>
          </w:tcPr>
          <w:p w14:paraId="0BA6ABB2" w14:textId="77777777" w:rsidR="000A2E02" w:rsidRPr="00B114DB" w:rsidRDefault="000A2E02" w:rsidP="002A1751">
            <w:pPr>
              <w:spacing w:after="60"/>
            </w:pPr>
            <w:r w:rsidRPr="00B114DB">
              <w:t xml:space="preserve">Meet daily banking needs </w:t>
            </w:r>
          </w:p>
        </w:tc>
        <w:tc>
          <w:tcPr>
            <w:tcW w:w="3809" w:type="pct"/>
          </w:tcPr>
          <w:p w14:paraId="14158D61" w14:textId="77777777" w:rsidR="000A2E02" w:rsidRPr="00B114DB" w:rsidRDefault="000A2E02" w:rsidP="002A1751">
            <w:pPr>
              <w:spacing w:after="60"/>
            </w:pPr>
            <w:r w:rsidRPr="00B114DB">
              <w:t>Provide basic services such as depositing and withdrawing money, making payments, and receiving government benefits</w:t>
            </w:r>
          </w:p>
        </w:tc>
      </w:tr>
      <w:tr w:rsidR="000A2E02" w:rsidRPr="00B114DB" w14:paraId="6DE86F32" w14:textId="77777777" w:rsidTr="000D4362">
        <w:trPr>
          <w:trHeight w:val="640"/>
        </w:trPr>
        <w:tc>
          <w:tcPr>
            <w:tcW w:w="1191" w:type="pct"/>
          </w:tcPr>
          <w:p w14:paraId="61B18B5D" w14:textId="77777777" w:rsidR="000A2E02" w:rsidRPr="00B114DB" w:rsidRDefault="000A2E02" w:rsidP="002A1751">
            <w:pPr>
              <w:spacing w:after="60"/>
            </w:pPr>
            <w:r w:rsidRPr="00B114DB">
              <w:t>Accessibility</w:t>
            </w:r>
          </w:p>
        </w:tc>
        <w:tc>
          <w:tcPr>
            <w:tcW w:w="3809" w:type="pct"/>
          </w:tcPr>
          <w:p w14:paraId="733C5DD3" w14:textId="77777777" w:rsidR="000A2E02" w:rsidRPr="00B114DB" w:rsidRDefault="000A2E02" w:rsidP="002A1751">
            <w:pPr>
              <w:spacing w:after="60"/>
            </w:pPr>
            <w:r w:rsidRPr="00B114DB">
              <w:t>Basic accounts may or may not be accessed via mobile phones or internet banking</w:t>
            </w:r>
          </w:p>
        </w:tc>
      </w:tr>
      <w:tr w:rsidR="000A2E02" w:rsidRPr="00B114DB" w14:paraId="1BDB5883" w14:textId="77777777" w:rsidTr="000D4362">
        <w:trPr>
          <w:trHeight w:val="640"/>
        </w:trPr>
        <w:tc>
          <w:tcPr>
            <w:tcW w:w="1191" w:type="pct"/>
            <w:vMerge w:val="restart"/>
          </w:tcPr>
          <w:p w14:paraId="08FEC1A3" w14:textId="77777777" w:rsidR="000A2E02" w:rsidRPr="00B114DB" w:rsidRDefault="000A2E02" w:rsidP="000D4362">
            <w:pPr>
              <w:keepNext/>
              <w:keepLines/>
              <w:spacing w:after="60"/>
            </w:pPr>
            <w:r w:rsidRPr="00B114DB">
              <w:t xml:space="preserve">Affordable  </w:t>
            </w:r>
          </w:p>
        </w:tc>
        <w:tc>
          <w:tcPr>
            <w:tcW w:w="3809" w:type="pct"/>
            <w:hideMark/>
          </w:tcPr>
          <w:p w14:paraId="3057300E" w14:textId="77777777" w:rsidR="000A2E02" w:rsidRPr="00B114DB" w:rsidRDefault="000A2E02" w:rsidP="000D4362">
            <w:pPr>
              <w:keepNext/>
              <w:keepLines/>
              <w:spacing w:after="60"/>
            </w:pPr>
            <w:r w:rsidRPr="00B114DB">
              <w:t>Basic account can be</w:t>
            </w:r>
            <w:r w:rsidRPr="00B114DB">
              <w:rPr>
                <w:rFonts w:ascii="Cambria" w:hAnsi="Cambria" w:cs="Cambria"/>
              </w:rPr>
              <w:t> </w:t>
            </w:r>
            <w:r w:rsidRPr="00B114DB">
              <w:t>opened free of charge, at least for a basic package of services</w:t>
            </w:r>
            <w:r w:rsidRPr="00B114DB">
              <w:rPr>
                <w:rFonts w:ascii="Times New Roman" w:hAnsi="Times New Roman" w:cs="Times New Roman"/>
              </w:rPr>
              <w:t>​</w:t>
            </w:r>
          </w:p>
        </w:tc>
      </w:tr>
      <w:tr w:rsidR="000A2E02" w:rsidRPr="00B114DB" w14:paraId="21A6C60C" w14:textId="77777777" w:rsidTr="000D4362">
        <w:trPr>
          <w:trHeight w:val="640"/>
        </w:trPr>
        <w:tc>
          <w:tcPr>
            <w:tcW w:w="1191" w:type="pct"/>
            <w:vMerge/>
          </w:tcPr>
          <w:p w14:paraId="48DF61BF" w14:textId="77777777" w:rsidR="000A2E02" w:rsidRPr="00B114DB" w:rsidRDefault="000A2E02" w:rsidP="002A1751">
            <w:pPr>
              <w:spacing w:after="60"/>
            </w:pPr>
          </w:p>
        </w:tc>
        <w:tc>
          <w:tcPr>
            <w:tcW w:w="3809" w:type="pct"/>
          </w:tcPr>
          <w:p w14:paraId="3CB5B327" w14:textId="77777777" w:rsidR="000A2E02" w:rsidRPr="00B114DB" w:rsidRDefault="000A2E02" w:rsidP="002A1751">
            <w:pPr>
              <w:spacing w:after="60"/>
            </w:pPr>
            <w:r w:rsidRPr="00B114DB">
              <w:t>A</w:t>
            </w:r>
            <w:r w:rsidRPr="00B114DB">
              <w:rPr>
                <w:rFonts w:ascii="Cambria" w:hAnsi="Cambria" w:cs="Cambria"/>
              </w:rPr>
              <w:t> </w:t>
            </w:r>
            <w:r w:rsidRPr="00B114DB">
              <w:t>zero balance</w:t>
            </w:r>
            <w:r w:rsidRPr="00B114DB">
              <w:rPr>
                <w:rFonts w:ascii="Cambria" w:hAnsi="Cambria" w:cs="Cambria"/>
              </w:rPr>
              <w:t> </w:t>
            </w:r>
            <w:r w:rsidRPr="00B114DB">
              <w:t>in the account is allowed without the customer being charged for this</w:t>
            </w:r>
            <w:r w:rsidRPr="00B114DB">
              <w:rPr>
                <w:rFonts w:ascii="Times New Roman" w:hAnsi="Times New Roman" w:cs="Times New Roman"/>
              </w:rPr>
              <w:t>​</w:t>
            </w:r>
          </w:p>
        </w:tc>
      </w:tr>
      <w:tr w:rsidR="000A2E02" w:rsidRPr="00B114DB" w14:paraId="117CEBEC" w14:textId="77777777" w:rsidTr="000D4362">
        <w:trPr>
          <w:trHeight w:val="376"/>
        </w:trPr>
        <w:tc>
          <w:tcPr>
            <w:tcW w:w="1191" w:type="pct"/>
          </w:tcPr>
          <w:p w14:paraId="16087CE6" w14:textId="77777777" w:rsidR="000A2E02" w:rsidRPr="00B114DB" w:rsidRDefault="000A2E02" w:rsidP="002A1751">
            <w:pPr>
              <w:spacing w:after="60"/>
            </w:pPr>
            <w:r w:rsidRPr="00B114DB">
              <w:t>Simple to open</w:t>
            </w:r>
          </w:p>
        </w:tc>
        <w:tc>
          <w:tcPr>
            <w:tcW w:w="3809" w:type="pct"/>
            <w:hideMark/>
          </w:tcPr>
          <w:p w14:paraId="5EAC426B" w14:textId="575D4676" w:rsidR="000A2E02" w:rsidRPr="00B114DB" w:rsidRDefault="000A2E02" w:rsidP="002A1751">
            <w:pPr>
              <w:spacing w:after="60"/>
            </w:pPr>
            <w:r w:rsidRPr="00B114DB">
              <w:t xml:space="preserve">AML/CFT requirements such as </w:t>
            </w:r>
            <w:r w:rsidR="00EF28EA" w:rsidRPr="00B114DB">
              <w:t xml:space="preserve">know </w:t>
            </w:r>
            <w:r w:rsidR="001D52A1" w:rsidRPr="00B114DB">
              <w:t xml:space="preserve">your customer </w:t>
            </w:r>
            <w:r w:rsidRPr="00B114DB">
              <w:t xml:space="preserve">and </w:t>
            </w:r>
            <w:r w:rsidR="00315D46" w:rsidRPr="00B114DB">
              <w:t>c</w:t>
            </w:r>
            <w:r w:rsidR="001D52A1" w:rsidRPr="00B114DB">
              <w:t>ustomer due diligence</w:t>
            </w:r>
            <w:r w:rsidRPr="00B114DB">
              <w:t xml:space="preserve"> processes are tailored</w:t>
            </w:r>
            <w:r w:rsidRPr="00B114DB">
              <w:rPr>
                <w:rFonts w:ascii="Cambria" w:hAnsi="Cambria" w:cs="Cambria"/>
              </w:rPr>
              <w:t> </w:t>
            </w:r>
            <w:r w:rsidRPr="00B114DB">
              <w:t xml:space="preserve">to facilitate the </w:t>
            </w:r>
            <w:r w:rsidR="00C94EF2">
              <w:t>easy</w:t>
            </w:r>
            <w:r w:rsidRPr="00B114DB">
              <w:t xml:space="preserve"> opening of accounts</w:t>
            </w:r>
            <w:r w:rsidRPr="00B114DB">
              <w:rPr>
                <w:rFonts w:ascii="Times New Roman" w:hAnsi="Times New Roman" w:cs="Times New Roman"/>
              </w:rPr>
              <w:t>​</w:t>
            </w:r>
          </w:p>
        </w:tc>
      </w:tr>
      <w:tr w:rsidR="000A2E02" w:rsidRPr="00B114DB" w14:paraId="49915451" w14:textId="77777777" w:rsidTr="000D4362">
        <w:trPr>
          <w:trHeight w:val="376"/>
        </w:trPr>
        <w:tc>
          <w:tcPr>
            <w:tcW w:w="1191" w:type="pct"/>
            <w:vMerge w:val="restart"/>
          </w:tcPr>
          <w:p w14:paraId="0073898A" w14:textId="77777777" w:rsidR="000A2E02" w:rsidRPr="00B114DB" w:rsidRDefault="000A2E02" w:rsidP="002A1751">
            <w:pPr>
              <w:spacing w:after="60"/>
            </w:pPr>
            <w:r w:rsidRPr="00B114DB">
              <w:t>Reduced functionality and risk mitigation</w:t>
            </w:r>
          </w:p>
        </w:tc>
        <w:tc>
          <w:tcPr>
            <w:tcW w:w="3809" w:type="pct"/>
            <w:hideMark/>
          </w:tcPr>
          <w:p w14:paraId="6B702D93" w14:textId="77777777" w:rsidR="000A2E02" w:rsidRPr="00B114DB" w:rsidRDefault="000A2E02" w:rsidP="002A1751">
            <w:pPr>
              <w:spacing w:after="60"/>
            </w:pPr>
            <w:r w:rsidRPr="00B114DB">
              <w:t>There is a</w:t>
            </w:r>
            <w:r w:rsidRPr="00B114DB">
              <w:rPr>
                <w:rFonts w:ascii="Cambria" w:hAnsi="Cambria" w:cs="Cambria"/>
              </w:rPr>
              <w:t> </w:t>
            </w:r>
            <w:r w:rsidRPr="00B114DB">
              <w:t>cap on the account balance</w:t>
            </w:r>
            <w:r w:rsidRPr="00B114DB">
              <w:rPr>
                <w:rFonts w:ascii="Cambria" w:hAnsi="Cambria" w:cs="Cambria"/>
              </w:rPr>
              <w:t> </w:t>
            </w:r>
            <w:r w:rsidRPr="00B114DB">
              <w:t>that a customer can maintain</w:t>
            </w:r>
            <w:r w:rsidRPr="00B114DB">
              <w:rPr>
                <w:rFonts w:ascii="Times New Roman" w:hAnsi="Times New Roman" w:cs="Times New Roman"/>
              </w:rPr>
              <w:t>​</w:t>
            </w:r>
          </w:p>
        </w:tc>
      </w:tr>
      <w:tr w:rsidR="000A2E02" w:rsidRPr="00B114DB" w14:paraId="64FCF26D" w14:textId="77777777" w:rsidTr="000D4362">
        <w:trPr>
          <w:trHeight w:val="232"/>
        </w:trPr>
        <w:tc>
          <w:tcPr>
            <w:tcW w:w="1191" w:type="pct"/>
            <w:vMerge/>
          </w:tcPr>
          <w:p w14:paraId="675C8CCD" w14:textId="77777777" w:rsidR="000A2E02" w:rsidRPr="00B114DB" w:rsidRDefault="000A2E02" w:rsidP="002A1751">
            <w:pPr>
              <w:spacing w:after="60"/>
            </w:pPr>
          </w:p>
        </w:tc>
        <w:tc>
          <w:tcPr>
            <w:tcW w:w="3809" w:type="pct"/>
            <w:hideMark/>
          </w:tcPr>
          <w:p w14:paraId="64928B75" w14:textId="5D7203B8" w:rsidR="000A2E02" w:rsidRPr="00B114DB" w:rsidRDefault="000A2E02" w:rsidP="002A1751">
            <w:pPr>
              <w:spacing w:after="60"/>
            </w:pPr>
            <w:r w:rsidRPr="00B114DB">
              <w:t>There are</w:t>
            </w:r>
            <w:r w:rsidR="0027789E" w:rsidRPr="00B114DB">
              <w:t xml:space="preserve"> daily</w:t>
            </w:r>
            <w:r w:rsidRPr="00B114DB">
              <w:rPr>
                <w:rFonts w:ascii="Cambria" w:hAnsi="Cambria" w:cs="Cambria"/>
              </w:rPr>
              <w:t> </w:t>
            </w:r>
            <w:r w:rsidRPr="00B114DB">
              <w:t>limits on the volume and value</w:t>
            </w:r>
            <w:r w:rsidRPr="00B114DB">
              <w:rPr>
                <w:rFonts w:ascii="Cambria" w:hAnsi="Cambria" w:cs="Cambria"/>
              </w:rPr>
              <w:t> </w:t>
            </w:r>
            <w:r w:rsidRPr="00B114DB">
              <w:t xml:space="preserve">of transactions   </w:t>
            </w:r>
          </w:p>
        </w:tc>
      </w:tr>
      <w:tr w:rsidR="000A2E02" w:rsidRPr="00B114DB" w14:paraId="2AA9D08D" w14:textId="77777777" w:rsidTr="000D4362">
        <w:trPr>
          <w:trHeight w:val="640"/>
        </w:trPr>
        <w:tc>
          <w:tcPr>
            <w:tcW w:w="1191" w:type="pct"/>
            <w:vMerge/>
          </w:tcPr>
          <w:p w14:paraId="56ED2127" w14:textId="77777777" w:rsidR="000A2E02" w:rsidRPr="00B114DB" w:rsidRDefault="000A2E02" w:rsidP="002A1751">
            <w:pPr>
              <w:spacing w:after="60"/>
            </w:pPr>
          </w:p>
        </w:tc>
        <w:tc>
          <w:tcPr>
            <w:tcW w:w="3809" w:type="pct"/>
            <w:hideMark/>
          </w:tcPr>
          <w:p w14:paraId="621DC209" w14:textId="77777777" w:rsidR="000A2E02" w:rsidRPr="00B114DB" w:rsidRDefault="000A2E02" w:rsidP="002A1751">
            <w:pPr>
              <w:spacing w:after="60"/>
            </w:pPr>
            <w:r w:rsidRPr="00B114DB">
              <w:t>There may be restrictions on the</w:t>
            </w:r>
            <w:r w:rsidRPr="00B114DB">
              <w:rPr>
                <w:rFonts w:ascii="Cambria" w:hAnsi="Cambria" w:cs="Cambria"/>
              </w:rPr>
              <w:t> </w:t>
            </w:r>
            <w:r w:rsidRPr="00B114DB">
              <w:t>types of payment transactions</w:t>
            </w:r>
            <w:r w:rsidRPr="00B114DB">
              <w:rPr>
                <w:rFonts w:ascii="Cambria" w:hAnsi="Cambria" w:cs="Cambria"/>
              </w:rPr>
              <w:t> </w:t>
            </w:r>
            <w:r w:rsidRPr="00B114DB">
              <w:t>that can be performed</w:t>
            </w:r>
            <w:r w:rsidRPr="00B114DB">
              <w:rPr>
                <w:rFonts w:ascii="Times New Roman" w:hAnsi="Times New Roman" w:cs="Times New Roman"/>
              </w:rPr>
              <w:t>​</w:t>
            </w:r>
            <w:r w:rsidRPr="00B114DB">
              <w:t>. For example, restriction on international payments</w:t>
            </w:r>
          </w:p>
        </w:tc>
      </w:tr>
      <w:tr w:rsidR="000A2E02" w:rsidRPr="00B114DB" w14:paraId="50CFAD0E" w14:textId="77777777" w:rsidTr="000D4362">
        <w:trPr>
          <w:trHeight w:val="417"/>
        </w:trPr>
        <w:tc>
          <w:tcPr>
            <w:tcW w:w="1191" w:type="pct"/>
            <w:vMerge/>
          </w:tcPr>
          <w:p w14:paraId="4FB27FAC" w14:textId="77777777" w:rsidR="000A2E02" w:rsidRPr="00B114DB" w:rsidRDefault="000A2E02" w:rsidP="002A1751">
            <w:pPr>
              <w:spacing w:after="60"/>
            </w:pPr>
          </w:p>
        </w:tc>
        <w:tc>
          <w:tcPr>
            <w:tcW w:w="3809" w:type="pct"/>
          </w:tcPr>
          <w:p w14:paraId="0DD8CA25" w14:textId="77777777" w:rsidR="000A2E02" w:rsidRPr="00B114DB" w:rsidRDefault="000A2E02" w:rsidP="002A1751">
            <w:pPr>
              <w:spacing w:after="60"/>
            </w:pPr>
            <w:r w:rsidRPr="00B114DB">
              <w:t>There are restrictions preventing overdraft or credit facilities</w:t>
            </w:r>
          </w:p>
        </w:tc>
      </w:tr>
      <w:tr w:rsidR="000A2E02" w:rsidRPr="00B114DB" w14:paraId="5BEEB909" w14:textId="77777777" w:rsidTr="000D4362">
        <w:trPr>
          <w:trHeight w:val="640"/>
        </w:trPr>
        <w:tc>
          <w:tcPr>
            <w:tcW w:w="1191" w:type="pct"/>
            <w:vMerge w:val="restart"/>
          </w:tcPr>
          <w:p w14:paraId="4A2ED418" w14:textId="77777777" w:rsidR="000A2E02" w:rsidRPr="00B114DB" w:rsidRDefault="000A2E02" w:rsidP="002A1751">
            <w:pPr>
              <w:spacing w:after="60"/>
            </w:pPr>
            <w:r w:rsidRPr="00B114DB">
              <w:t>Other</w:t>
            </w:r>
          </w:p>
        </w:tc>
        <w:tc>
          <w:tcPr>
            <w:tcW w:w="3809" w:type="pct"/>
          </w:tcPr>
          <w:p w14:paraId="018B66AD" w14:textId="45D55AD3" w:rsidR="000A2E02" w:rsidRPr="00B114DB" w:rsidRDefault="000A2E02" w:rsidP="002A1751">
            <w:pPr>
              <w:spacing w:after="60"/>
            </w:pPr>
            <w:r w:rsidRPr="00B114DB">
              <w:t>Basic accounts can be provided by non-bank payment service providers in the form of</w:t>
            </w:r>
            <w:r w:rsidRPr="00B114DB">
              <w:rPr>
                <w:rFonts w:ascii="Cambria" w:hAnsi="Cambria" w:cs="Cambria"/>
              </w:rPr>
              <w:t> </w:t>
            </w:r>
            <w:r w:rsidR="00CC6823" w:rsidRPr="00B114DB">
              <w:t xml:space="preserve">electronic </w:t>
            </w:r>
            <w:r w:rsidRPr="00B114DB">
              <w:t>money</w:t>
            </w:r>
            <w:r w:rsidRPr="00B114DB">
              <w:rPr>
                <w:rFonts w:ascii="Times New Roman" w:hAnsi="Times New Roman" w:cs="Times New Roman"/>
              </w:rPr>
              <w:t>​</w:t>
            </w:r>
          </w:p>
        </w:tc>
      </w:tr>
      <w:tr w:rsidR="000A2E02" w:rsidRPr="00B114DB" w14:paraId="05C91482" w14:textId="77777777" w:rsidTr="000D4362">
        <w:trPr>
          <w:trHeight w:val="347"/>
        </w:trPr>
        <w:tc>
          <w:tcPr>
            <w:tcW w:w="1191" w:type="pct"/>
            <w:vMerge/>
          </w:tcPr>
          <w:p w14:paraId="703D8554" w14:textId="77777777" w:rsidR="000A2E02" w:rsidRPr="00B114DB" w:rsidRDefault="000A2E02" w:rsidP="002A1751">
            <w:pPr>
              <w:spacing w:after="60"/>
            </w:pPr>
          </w:p>
        </w:tc>
        <w:tc>
          <w:tcPr>
            <w:tcW w:w="3809" w:type="pct"/>
          </w:tcPr>
          <w:p w14:paraId="0330E4E0" w14:textId="77777777" w:rsidR="000A2E02" w:rsidRPr="00B114DB" w:rsidRDefault="000A2E02" w:rsidP="002A1751">
            <w:pPr>
              <w:spacing w:after="60"/>
            </w:pPr>
            <w:r w:rsidRPr="00B114DB">
              <w:t>Basic accounts are protected by</w:t>
            </w:r>
            <w:r w:rsidRPr="00B114DB">
              <w:rPr>
                <w:rFonts w:ascii="Cambria" w:hAnsi="Cambria" w:cs="Cambria"/>
              </w:rPr>
              <w:t> </w:t>
            </w:r>
            <w:r w:rsidRPr="00B114DB">
              <w:t>deposit insurance</w:t>
            </w:r>
          </w:p>
        </w:tc>
      </w:tr>
    </w:tbl>
    <w:p w14:paraId="0E247C60" w14:textId="6E1BD8E0" w:rsidR="000A2E02" w:rsidRPr="00FE12CE" w:rsidRDefault="000A2E02" w:rsidP="00D75763">
      <w:pPr>
        <w:pStyle w:val="Source"/>
        <w:spacing w:before="0" w:after="0"/>
      </w:pPr>
      <w:r w:rsidRPr="0078374E">
        <w:t>Source: World Bank Global Payments Survey 2021</w:t>
      </w:r>
      <w:r w:rsidR="00D75763">
        <w:t xml:space="preserve">. Note: this is not an exhaustive list. </w:t>
      </w:r>
    </w:p>
    <w:p w14:paraId="06330BE2" w14:textId="68315B70" w:rsidR="00616618" w:rsidRPr="00BE186B" w:rsidRDefault="001841B3" w:rsidP="00954C8C">
      <w:r>
        <w:t xml:space="preserve">Other key design settings that are often considered in the development of basic transaction accounts are the </w:t>
      </w:r>
      <w:r w:rsidR="00264CCE">
        <w:t>scope and coverage of basic transaction accounts</w:t>
      </w:r>
      <w:r w:rsidR="00430B06">
        <w:t xml:space="preserve"> </w:t>
      </w:r>
      <w:r w:rsidR="00AD7634">
        <w:t>(for example,</w:t>
      </w:r>
      <w:r w:rsidR="001D756F">
        <w:t xml:space="preserve"> can be opened by </w:t>
      </w:r>
      <w:r w:rsidR="00425211">
        <w:t>non-</w:t>
      </w:r>
      <w:r w:rsidR="00A310EA">
        <w:t xml:space="preserve">residents </w:t>
      </w:r>
      <w:r w:rsidR="001D756F">
        <w:t xml:space="preserve">or </w:t>
      </w:r>
      <w:r w:rsidR="00002103">
        <w:t>all unbanked individuals</w:t>
      </w:r>
      <w:r w:rsidR="00002103">
        <w:rPr>
          <w:rStyle w:val="FootnoteReference"/>
        </w:rPr>
        <w:footnoteReference w:id="57"/>
      </w:r>
      <w:r w:rsidR="00AD7634">
        <w:t xml:space="preserve">) </w:t>
      </w:r>
      <w:r w:rsidR="00430B06">
        <w:t>and</w:t>
      </w:r>
      <w:r w:rsidR="00264CCE">
        <w:t xml:space="preserve"> eligibility criteria </w:t>
      </w:r>
      <w:r w:rsidR="00364412">
        <w:t>for opening transaction accounts</w:t>
      </w:r>
      <w:r w:rsidR="00002103">
        <w:t xml:space="preserve"> (such as </w:t>
      </w:r>
      <w:r w:rsidR="001D756F">
        <w:t xml:space="preserve">a requirement that people do </w:t>
      </w:r>
      <w:r w:rsidR="00002103">
        <w:t xml:space="preserve">not </w:t>
      </w:r>
      <w:r w:rsidR="001D756F">
        <w:t xml:space="preserve">already </w:t>
      </w:r>
      <w:r w:rsidR="00002103">
        <w:t>hav</w:t>
      </w:r>
      <w:r w:rsidR="001D756F">
        <w:t>e</w:t>
      </w:r>
      <w:r w:rsidR="00002103">
        <w:t xml:space="preserve"> a transaction account</w:t>
      </w:r>
      <w:r w:rsidR="00B10397">
        <w:rPr>
          <w:rStyle w:val="FootnoteReference"/>
        </w:rPr>
        <w:footnoteReference w:id="58"/>
      </w:r>
      <w:r w:rsidR="00002103">
        <w:t>)</w:t>
      </w:r>
      <w:r w:rsidR="00B144D6">
        <w:t xml:space="preserve">. </w:t>
      </w:r>
    </w:p>
    <w:p w14:paraId="28C41B60" w14:textId="6067D6E8" w:rsidR="000A2E02" w:rsidRPr="007C14D9" w:rsidRDefault="0024402E" w:rsidP="00B114DB">
      <w:pPr>
        <w:pStyle w:val="Heading2Numbered"/>
      </w:pPr>
      <w:bookmarkStart w:id="39" w:name="_Toc193437689"/>
      <w:bookmarkStart w:id="40" w:name="_Toc196208746"/>
      <w:r>
        <w:lastRenderedPageBreak/>
        <w:t>I</w:t>
      </w:r>
      <w:r w:rsidR="000A2E02" w:rsidRPr="007C14D9">
        <w:t>nternational policies and initiatives</w:t>
      </w:r>
      <w:bookmarkEnd w:id="39"/>
      <w:bookmarkEnd w:id="40"/>
      <w:r w:rsidR="000A2E02" w:rsidRPr="007C14D9">
        <w:t xml:space="preserve"> </w:t>
      </w:r>
    </w:p>
    <w:p w14:paraId="0F79CA25" w14:textId="3ED17C86" w:rsidR="009625C9" w:rsidRDefault="00DC353F" w:rsidP="00B114DB">
      <w:r w:rsidRPr="000D09E5">
        <w:t xml:space="preserve">Our analysis of international practices has found that </w:t>
      </w:r>
      <w:r w:rsidR="3C633342">
        <w:t>the implementation</w:t>
      </w:r>
      <w:r w:rsidR="000A2E02" w:rsidRPr="000D09E5">
        <w:t xml:space="preserve"> of basic transaction accounts </w:t>
      </w:r>
      <w:r w:rsidR="3C633342">
        <w:t>varies</w:t>
      </w:r>
      <w:r w:rsidRPr="000D09E5">
        <w:t xml:space="preserve"> </w:t>
      </w:r>
      <w:r w:rsidR="000A2E02" w:rsidRPr="000D09E5">
        <w:t xml:space="preserve">considerably </w:t>
      </w:r>
      <w:r w:rsidR="0098530C" w:rsidRPr="000D09E5">
        <w:t xml:space="preserve">across different </w:t>
      </w:r>
      <w:r w:rsidR="0098530C" w:rsidRPr="00BE186B">
        <w:t>jurisdictions</w:t>
      </w:r>
      <w:r w:rsidRPr="00BE186B">
        <w:t>.</w:t>
      </w:r>
      <w:r w:rsidR="000A2E02" w:rsidRPr="00BE186B">
        <w:t xml:space="preserve"> </w:t>
      </w:r>
      <w:r w:rsidR="3C633342">
        <w:t>Generally, these approaches</w:t>
      </w:r>
      <w:r w:rsidR="258BA295">
        <w:t xml:space="preserve"> </w:t>
      </w:r>
      <w:r w:rsidR="000A2E02" w:rsidRPr="000D09E5">
        <w:t xml:space="preserve">fall into </w:t>
      </w:r>
      <w:r w:rsidR="008B566C" w:rsidRPr="000D09E5">
        <w:t>three</w:t>
      </w:r>
      <w:r w:rsidR="00DC233A" w:rsidRPr="000D09E5">
        <w:t xml:space="preserve"> </w:t>
      </w:r>
      <w:r w:rsidR="000A2E02" w:rsidRPr="000D09E5">
        <w:t>categories</w:t>
      </w:r>
      <w:r w:rsidR="00C251A5">
        <w:t xml:space="preserve"> as seen below in </w:t>
      </w:r>
      <w:r w:rsidR="00C251A5" w:rsidRPr="00C251A5">
        <w:rPr>
          <w:b/>
          <w:bCs/>
        </w:rPr>
        <w:t>Table 2</w:t>
      </w:r>
      <w:r w:rsidR="000A2E02" w:rsidRPr="000D09E5">
        <w:t>:</w:t>
      </w:r>
      <w:r w:rsidR="00DC233A" w:rsidRPr="000D09E5">
        <w:t xml:space="preserve"> </w:t>
      </w:r>
      <w:r w:rsidR="00B8093D" w:rsidRPr="000D4362">
        <w:rPr>
          <w:rStyle w:val="Emphasis"/>
        </w:rPr>
        <w:t xml:space="preserve">regulatory requirements, </w:t>
      </w:r>
      <w:r w:rsidR="00446CEF" w:rsidRPr="000D4362">
        <w:rPr>
          <w:rStyle w:val="Emphasis"/>
        </w:rPr>
        <w:t xml:space="preserve">industry-led </w:t>
      </w:r>
      <w:r w:rsidR="00D102FC" w:rsidRPr="000D4362">
        <w:rPr>
          <w:rStyle w:val="Emphasis"/>
        </w:rPr>
        <w:t>approaches</w:t>
      </w:r>
      <w:r w:rsidR="00446CEF" w:rsidRPr="00FC168F">
        <w:rPr>
          <w:b/>
        </w:rPr>
        <w:t>,</w:t>
      </w:r>
      <w:r w:rsidR="00446CEF" w:rsidRPr="000D09E5">
        <w:t xml:space="preserve"> </w:t>
      </w:r>
      <w:r w:rsidR="00D32F75" w:rsidRPr="000D09E5">
        <w:t xml:space="preserve">and </w:t>
      </w:r>
      <w:r w:rsidR="00662A32" w:rsidRPr="000D4362">
        <w:rPr>
          <w:rStyle w:val="Emphasis"/>
        </w:rPr>
        <w:t xml:space="preserve">hybrid </w:t>
      </w:r>
      <w:r w:rsidR="1ABD18F0">
        <w:t xml:space="preserve">approaches </w:t>
      </w:r>
      <w:r w:rsidR="17BE9731">
        <w:t>that involve</w:t>
      </w:r>
      <w:r w:rsidR="00DC69AB">
        <w:t xml:space="preserve"> collaboration between regulators and </w:t>
      </w:r>
      <w:r w:rsidR="006B5C11">
        <w:t>financial institutions</w:t>
      </w:r>
      <w:r w:rsidR="000A2E02" w:rsidRPr="000D09E5">
        <w:t xml:space="preserve">. </w:t>
      </w:r>
      <w:r w:rsidR="17BE9731">
        <w:t>This</w:t>
      </w:r>
      <w:r w:rsidR="00105D74">
        <w:t xml:space="preserve"> section</w:t>
      </w:r>
      <w:r w:rsidR="555ECB78">
        <w:t xml:space="preserve"> </w:t>
      </w:r>
      <w:r w:rsidR="17BE9731">
        <w:t>also</w:t>
      </w:r>
      <w:r w:rsidR="00105D74">
        <w:t xml:space="preserve"> discusse</w:t>
      </w:r>
      <w:r w:rsidR="00551FA4">
        <w:t>s</w:t>
      </w:r>
      <w:r w:rsidR="00105D74">
        <w:t xml:space="preserve"> how ongoing monitoring has been an important tool to understand the effectiveness of efforts to improve financial inclusion through </w:t>
      </w:r>
      <w:r w:rsidR="00127E0B">
        <w:t xml:space="preserve">basic transaction accounts. </w:t>
      </w:r>
    </w:p>
    <w:p w14:paraId="0A18D871" w14:textId="506EF19B" w:rsidR="00C251A5" w:rsidRPr="000D09E5" w:rsidDel="00652BBC" w:rsidRDefault="00C251A5" w:rsidP="00C251A5">
      <w:pPr>
        <w:pStyle w:val="Caption"/>
      </w:pPr>
      <w:r>
        <w:t xml:space="preserve">Table 2: The three main approaches identified to make basic transaction accounts widely available in other jurisdictions. </w:t>
      </w:r>
    </w:p>
    <w:tbl>
      <w:tblPr>
        <w:tblStyle w:val="CoFR"/>
        <w:tblW w:w="5000" w:type="pct"/>
        <w:tblLook w:val="0420" w:firstRow="1" w:lastRow="0" w:firstColumn="0" w:lastColumn="0" w:noHBand="0" w:noVBand="1"/>
      </w:tblPr>
      <w:tblGrid>
        <w:gridCol w:w="3024"/>
        <w:gridCol w:w="3024"/>
        <w:gridCol w:w="3022"/>
      </w:tblGrid>
      <w:tr w:rsidR="00B8093D" w:rsidRPr="002A1751" w14:paraId="45A1EDDC" w14:textId="77777777" w:rsidTr="000D4362">
        <w:trPr>
          <w:cnfStyle w:val="100000000000" w:firstRow="1" w:lastRow="0" w:firstColumn="0" w:lastColumn="0" w:oddVBand="0" w:evenVBand="0" w:oddHBand="0" w:evenHBand="0" w:firstRowFirstColumn="0" w:firstRowLastColumn="0" w:lastRowFirstColumn="0" w:lastRowLastColumn="0"/>
        </w:trPr>
        <w:tc>
          <w:tcPr>
            <w:tcW w:w="1667" w:type="pct"/>
          </w:tcPr>
          <w:p w14:paraId="7C630D3D" w14:textId="2806F1A3" w:rsidR="00B8093D" w:rsidRPr="000A4D2E" w:rsidRDefault="00B8093D" w:rsidP="002A1751">
            <w:pPr>
              <w:spacing w:before="144" w:after="144"/>
              <w:rPr>
                <w:sz w:val="22"/>
                <w:szCs w:val="24"/>
              </w:rPr>
            </w:pPr>
            <w:r w:rsidRPr="000A4D2E">
              <w:rPr>
                <w:sz w:val="22"/>
                <w:szCs w:val="24"/>
              </w:rPr>
              <w:t xml:space="preserve">Regulatory requirements </w:t>
            </w:r>
          </w:p>
        </w:tc>
        <w:tc>
          <w:tcPr>
            <w:tcW w:w="1667" w:type="pct"/>
          </w:tcPr>
          <w:p w14:paraId="4003101E" w14:textId="0863C187" w:rsidR="00B8093D" w:rsidRPr="000A4D2E" w:rsidRDefault="00B8093D" w:rsidP="002A1751">
            <w:pPr>
              <w:spacing w:before="144" w:after="144"/>
              <w:rPr>
                <w:sz w:val="22"/>
                <w:szCs w:val="24"/>
              </w:rPr>
            </w:pPr>
            <w:r w:rsidRPr="000A4D2E">
              <w:rPr>
                <w:sz w:val="22"/>
                <w:szCs w:val="24"/>
              </w:rPr>
              <w:t>Industry led approach</w:t>
            </w:r>
          </w:p>
        </w:tc>
        <w:tc>
          <w:tcPr>
            <w:tcW w:w="1667" w:type="pct"/>
          </w:tcPr>
          <w:p w14:paraId="260269CF" w14:textId="2DD9B197" w:rsidR="00B8093D" w:rsidRPr="000A4D2E" w:rsidRDefault="00B8093D" w:rsidP="002A1751">
            <w:pPr>
              <w:spacing w:before="144" w:after="144"/>
              <w:rPr>
                <w:sz w:val="22"/>
                <w:szCs w:val="24"/>
              </w:rPr>
            </w:pPr>
            <w:r w:rsidRPr="000A4D2E">
              <w:rPr>
                <w:sz w:val="22"/>
                <w:szCs w:val="24"/>
              </w:rPr>
              <w:t xml:space="preserve">Hybrid approach </w:t>
            </w:r>
          </w:p>
        </w:tc>
      </w:tr>
      <w:tr w:rsidR="00B8093D" w:rsidRPr="002A1751" w14:paraId="75837B82" w14:textId="77777777" w:rsidTr="000D4362">
        <w:trPr>
          <w:cnfStyle w:val="000000100000" w:firstRow="0" w:lastRow="0" w:firstColumn="0" w:lastColumn="0" w:oddVBand="0" w:evenVBand="0" w:oddHBand="1" w:evenHBand="0" w:firstRowFirstColumn="0" w:firstRowLastColumn="0" w:lastRowFirstColumn="0" w:lastRowLastColumn="0"/>
        </w:trPr>
        <w:tc>
          <w:tcPr>
            <w:tcW w:w="1667" w:type="pct"/>
          </w:tcPr>
          <w:p w14:paraId="06C22A3F" w14:textId="7E20255C" w:rsidR="00B8093D" w:rsidRPr="000A4D2E" w:rsidRDefault="2F42C4A7" w:rsidP="002A1751">
            <w:pPr>
              <w:keepLines/>
              <w:spacing w:before="144" w:after="144"/>
              <w:rPr>
                <w:sz w:val="22"/>
              </w:rPr>
            </w:pPr>
            <w:r w:rsidRPr="753923B8">
              <w:rPr>
                <w:sz w:val="22"/>
              </w:rPr>
              <w:t>F</w:t>
            </w:r>
            <w:r w:rsidR="1695ED38" w:rsidRPr="753923B8">
              <w:rPr>
                <w:sz w:val="22"/>
              </w:rPr>
              <w:t xml:space="preserve">inancial </w:t>
            </w:r>
            <w:r w:rsidR="00B8093D" w:rsidRPr="753923B8">
              <w:rPr>
                <w:sz w:val="22"/>
              </w:rPr>
              <w:t xml:space="preserve">regulators set the requirements for financial institutions to offer basic transaction accounts. A regulatory approach relies on legislative change to set the parameters of basic transaction accounts and introduce associated enforcement measures to uphold rules and requirements. </w:t>
            </w:r>
          </w:p>
        </w:tc>
        <w:tc>
          <w:tcPr>
            <w:tcW w:w="1667" w:type="pct"/>
          </w:tcPr>
          <w:p w14:paraId="4B801573" w14:textId="47D72564" w:rsidR="00B8093D" w:rsidRPr="000A4D2E" w:rsidRDefault="00B8093D" w:rsidP="002A1751">
            <w:pPr>
              <w:keepLines/>
              <w:spacing w:before="144" w:after="144"/>
              <w:rPr>
                <w:sz w:val="22"/>
              </w:rPr>
            </w:pPr>
            <w:r w:rsidRPr="753923B8">
              <w:rPr>
                <w:sz w:val="22"/>
              </w:rPr>
              <w:t>Financial institutions take a leading role in designing and implementing basic transaction accounts, using an industry code or shared commitment to standardise how such accounts are offered, to whom, and in what circumstances. Industry led approaches are voluntary</w:t>
            </w:r>
            <w:r w:rsidR="009813D2" w:rsidRPr="753923B8">
              <w:rPr>
                <w:sz w:val="22"/>
              </w:rPr>
              <w:t xml:space="preserve"> and </w:t>
            </w:r>
            <w:r w:rsidR="209AB609" w:rsidRPr="753923B8">
              <w:rPr>
                <w:sz w:val="22"/>
              </w:rPr>
              <w:t xml:space="preserve">rely </w:t>
            </w:r>
            <w:r w:rsidR="0069596D" w:rsidRPr="753923B8">
              <w:rPr>
                <w:sz w:val="22"/>
              </w:rPr>
              <w:t xml:space="preserve">on </w:t>
            </w:r>
            <w:r w:rsidR="001778B9" w:rsidRPr="753923B8">
              <w:rPr>
                <w:sz w:val="22"/>
              </w:rPr>
              <w:t xml:space="preserve">buy in from deposit takers to achieve outcomes </w:t>
            </w:r>
            <w:r w:rsidR="00DF2FC8" w:rsidRPr="753923B8">
              <w:rPr>
                <w:sz w:val="22"/>
              </w:rPr>
              <w:t>rel</w:t>
            </w:r>
            <w:r w:rsidR="00DF2FC8">
              <w:rPr>
                <w:sz w:val="22"/>
              </w:rPr>
              <w:t>ated</w:t>
            </w:r>
            <w:r w:rsidR="00DF2FC8" w:rsidRPr="753923B8">
              <w:rPr>
                <w:sz w:val="22"/>
              </w:rPr>
              <w:t xml:space="preserve"> </w:t>
            </w:r>
            <w:r w:rsidR="001778B9" w:rsidRPr="753923B8">
              <w:rPr>
                <w:sz w:val="22"/>
              </w:rPr>
              <w:t xml:space="preserve">to financial inclusion. </w:t>
            </w:r>
          </w:p>
        </w:tc>
        <w:tc>
          <w:tcPr>
            <w:tcW w:w="1667" w:type="pct"/>
          </w:tcPr>
          <w:p w14:paraId="418063DA" w14:textId="7EDDCC61" w:rsidR="00B8093D" w:rsidRPr="000A4D2E" w:rsidRDefault="00B8093D" w:rsidP="002A1751">
            <w:pPr>
              <w:keepLines/>
              <w:spacing w:before="144" w:after="144"/>
              <w:rPr>
                <w:sz w:val="22"/>
                <w:szCs w:val="24"/>
              </w:rPr>
            </w:pPr>
            <w:r w:rsidRPr="000A4D2E">
              <w:rPr>
                <w:sz w:val="22"/>
                <w:szCs w:val="24"/>
              </w:rPr>
              <w:t xml:space="preserve">Financial regulators provide flexibility </w:t>
            </w:r>
            <w:r w:rsidR="00760715" w:rsidRPr="000A4D2E">
              <w:rPr>
                <w:sz w:val="22"/>
                <w:szCs w:val="24"/>
              </w:rPr>
              <w:t xml:space="preserve">and </w:t>
            </w:r>
            <w:r w:rsidR="001A4688" w:rsidRPr="000A4D2E">
              <w:rPr>
                <w:sz w:val="22"/>
                <w:szCs w:val="24"/>
              </w:rPr>
              <w:t xml:space="preserve">remove regulatory barriers </w:t>
            </w:r>
            <w:r w:rsidRPr="000A4D2E">
              <w:rPr>
                <w:sz w:val="22"/>
                <w:szCs w:val="24"/>
              </w:rPr>
              <w:t>for financial institutions to design and implement a basic transaction account in line with a set of agreed principles and parameters. Under this model, basic transaction accounts receive a regulatory carve out/exemption that entities can utilise if they want to offer a basic transaction account.</w:t>
            </w:r>
            <w:r w:rsidR="00760715" w:rsidRPr="000A4D2E">
              <w:rPr>
                <w:sz w:val="22"/>
                <w:szCs w:val="24"/>
              </w:rPr>
              <w:t xml:space="preserve"> </w:t>
            </w:r>
          </w:p>
        </w:tc>
      </w:tr>
    </w:tbl>
    <w:p w14:paraId="6AF90E74" w14:textId="7AA06C2E" w:rsidR="000A2E02" w:rsidRPr="002A1751" w:rsidRDefault="00DC233A" w:rsidP="002A1751">
      <w:pPr>
        <w:pStyle w:val="Heading2Numbered"/>
      </w:pPr>
      <w:bookmarkStart w:id="41" w:name="_Toc193437690"/>
      <w:bookmarkStart w:id="42" w:name="_Toc196208747"/>
      <w:r w:rsidRPr="002A1751">
        <w:t>Regulat</w:t>
      </w:r>
      <w:r w:rsidR="009625C9" w:rsidRPr="002A1751">
        <w:t>ory requirements</w:t>
      </w:r>
      <w:bookmarkEnd w:id="41"/>
      <w:bookmarkEnd w:id="42"/>
      <w:r w:rsidR="000A2E02" w:rsidRPr="002A1751">
        <w:t xml:space="preserve"> </w:t>
      </w:r>
    </w:p>
    <w:p w14:paraId="607D4789" w14:textId="4B617416" w:rsidR="00E840C4" w:rsidRPr="00B727B1" w:rsidRDefault="00E840C4" w:rsidP="002A1751">
      <w:pPr>
        <w:pStyle w:val="Heading3"/>
      </w:pPr>
      <w:r w:rsidRPr="00B727B1">
        <w:t xml:space="preserve">Regulatory </w:t>
      </w:r>
      <w:r w:rsidR="008E1B12">
        <w:t xml:space="preserve">requirements have been a </w:t>
      </w:r>
      <w:r w:rsidR="00551FA4">
        <w:t>common</w:t>
      </w:r>
      <w:r w:rsidR="008E1B12">
        <w:t xml:space="preserve"> tool for</w:t>
      </w:r>
      <w:r w:rsidRPr="00B727B1">
        <w:t xml:space="preserve"> </w:t>
      </w:r>
      <w:r w:rsidR="00DC353F">
        <w:t>improv</w:t>
      </w:r>
      <w:r w:rsidR="008E1B12">
        <w:t>ing</w:t>
      </w:r>
      <w:r w:rsidR="00DC353F">
        <w:t xml:space="preserve"> access to</w:t>
      </w:r>
      <w:r w:rsidRPr="00B727B1">
        <w:t xml:space="preserve"> transaction accounts </w:t>
      </w:r>
    </w:p>
    <w:p w14:paraId="6FAC57B6" w14:textId="319DEFED" w:rsidR="000A2E02" w:rsidRPr="007C14D9" w:rsidRDefault="00E840C4" w:rsidP="002A1751">
      <w:r>
        <w:t>Requirements for the provision of b</w:t>
      </w:r>
      <w:r w:rsidR="000A2E02" w:rsidRPr="007C14D9">
        <w:t>asic transaction account</w:t>
      </w:r>
      <w:r>
        <w:t>s</w:t>
      </w:r>
      <w:r w:rsidR="000A2E02" w:rsidRPr="007C14D9">
        <w:t xml:space="preserve"> </w:t>
      </w:r>
      <w:r>
        <w:t>have</w:t>
      </w:r>
      <w:r w:rsidR="000A2E02" w:rsidRPr="007C14D9">
        <w:t xml:space="preserve"> been legislated in 78% (72/92) of countries surveyed by the World Bank, </w:t>
      </w:r>
      <w:r w:rsidR="006B5C11">
        <w:t xml:space="preserve">demonstrating how </w:t>
      </w:r>
      <w:r w:rsidR="006B5C11" w:rsidRPr="007C14D9">
        <w:t>regulat</w:t>
      </w:r>
      <w:r w:rsidR="006B5C11">
        <w:t>ory approaches</w:t>
      </w:r>
      <w:r w:rsidR="006B5C11" w:rsidRPr="007C14D9">
        <w:t xml:space="preserve"> are </w:t>
      </w:r>
      <w:r w:rsidR="00304539">
        <w:t xml:space="preserve">a </w:t>
      </w:r>
      <w:r w:rsidR="00304539" w:rsidRPr="00AE45C2">
        <w:t>common tool employed by financial regulators</w:t>
      </w:r>
      <w:r w:rsidR="006B5C11" w:rsidRPr="00AE45C2">
        <w:t xml:space="preserve"> to improve access to transaction accounts</w:t>
      </w:r>
      <w:r w:rsidR="000A2E02" w:rsidRPr="00AE45C2">
        <w:t>.</w:t>
      </w:r>
      <w:r w:rsidR="000A2E02" w:rsidRPr="00AE45C2">
        <w:rPr>
          <w:rStyle w:val="FootnoteReference"/>
          <w:rFonts w:ascii="Segoe UI Light" w:eastAsia="Segoe UI Light" w:hAnsi="Segoe UI Light" w:cs="Segoe UI Light"/>
        </w:rPr>
        <w:footnoteReference w:id="59"/>
      </w:r>
      <w:r w:rsidR="000A2E02" w:rsidRPr="00AE45C2">
        <w:t xml:space="preserve"> </w:t>
      </w:r>
      <w:r w:rsidR="00C21243" w:rsidRPr="00C251A5">
        <w:rPr>
          <w:b/>
          <w:bCs/>
        </w:rPr>
        <w:t xml:space="preserve">Table </w:t>
      </w:r>
      <w:r w:rsidR="00C251A5" w:rsidRPr="00C251A5">
        <w:rPr>
          <w:b/>
          <w:bCs/>
        </w:rPr>
        <w:t>3</w:t>
      </w:r>
      <w:r w:rsidR="00C21243">
        <w:t xml:space="preserve"> below provides </w:t>
      </w:r>
      <w:r w:rsidR="00C21243" w:rsidRPr="00616618">
        <w:t>a summary of the regulatory approaches that have been taken in Sweden, Denmark, France, Ireland, Canada, and</w:t>
      </w:r>
      <w:r w:rsidR="00C21243" w:rsidRPr="00616618" w:rsidDel="00385EA5">
        <w:t xml:space="preserve"> </w:t>
      </w:r>
      <w:r w:rsidR="00C21243" w:rsidRPr="00616618">
        <w:t>the UK, where legal requirements have been put in place for financial institutions to offer basic transactions accounts and set requirements.</w:t>
      </w:r>
    </w:p>
    <w:p w14:paraId="131DF10B" w14:textId="7F743B0B" w:rsidR="002A1751" w:rsidRDefault="002A1751" w:rsidP="002A1751">
      <w:pPr>
        <w:pStyle w:val="Caption"/>
      </w:pPr>
      <w:bookmarkStart w:id="43" w:name="_Toc195096982"/>
      <w:r>
        <w:lastRenderedPageBreak/>
        <w:t xml:space="preserve">Table </w:t>
      </w:r>
      <w:r w:rsidR="00C251A5">
        <w:t>3</w:t>
      </w:r>
      <w:r>
        <w:t xml:space="preserve">: </w:t>
      </w:r>
      <w:r w:rsidRPr="00632518">
        <w:t>Case studies of regulatory approaches to basic transaction accounts</w:t>
      </w:r>
      <w:bookmarkEnd w:id="43"/>
    </w:p>
    <w:tbl>
      <w:tblPr>
        <w:tblStyle w:val="CoFR"/>
        <w:tblW w:w="5000" w:type="pct"/>
        <w:tblLook w:val="04A0" w:firstRow="1" w:lastRow="0" w:firstColumn="1" w:lastColumn="0" w:noHBand="0" w:noVBand="1"/>
      </w:tblPr>
      <w:tblGrid>
        <w:gridCol w:w="1842"/>
        <w:gridCol w:w="3260"/>
        <w:gridCol w:w="1983"/>
        <w:gridCol w:w="1985"/>
      </w:tblGrid>
      <w:tr w:rsidR="00A21DE9" w:rsidRPr="002A1751" w14:paraId="6FE69904" w14:textId="77777777" w:rsidTr="00185772">
        <w:trPr>
          <w:cnfStyle w:val="100000000000" w:firstRow="1" w:lastRow="0" w:firstColumn="0" w:lastColumn="0" w:oddVBand="0" w:evenVBand="0" w:oddHBand="0" w:evenHBand="0" w:firstRowFirstColumn="0" w:firstRowLastColumn="0" w:lastRowFirstColumn="0" w:lastRowLastColumn="0"/>
          <w:trHeight w:val="868"/>
        </w:trPr>
        <w:tc>
          <w:tcPr>
            <w:tcW w:w="1015" w:type="pct"/>
          </w:tcPr>
          <w:p w14:paraId="42D045A7" w14:textId="77777777" w:rsidR="00A21DE9" w:rsidRPr="002A1751" w:rsidRDefault="00A21DE9" w:rsidP="000131AF">
            <w:pPr>
              <w:spacing w:before="144" w:after="144"/>
            </w:pPr>
          </w:p>
        </w:tc>
        <w:tc>
          <w:tcPr>
            <w:tcW w:w="1797" w:type="pct"/>
          </w:tcPr>
          <w:p w14:paraId="4B0CF3AE" w14:textId="65F824A6" w:rsidR="00A21DE9" w:rsidRPr="002A1751" w:rsidRDefault="00A21DE9" w:rsidP="000131AF">
            <w:pPr>
              <w:spacing w:before="144" w:after="144"/>
            </w:pPr>
            <w:r>
              <w:t>Responsible authority</w:t>
            </w:r>
            <w:r w:rsidRPr="002A1751">
              <w:t xml:space="preserve"> </w:t>
            </w:r>
          </w:p>
        </w:tc>
        <w:tc>
          <w:tcPr>
            <w:tcW w:w="1093" w:type="pct"/>
          </w:tcPr>
          <w:p w14:paraId="4AED3626" w14:textId="77777777" w:rsidR="00A21DE9" w:rsidRPr="002A1751" w:rsidRDefault="00A21DE9" w:rsidP="00A21DE9">
            <w:pPr>
              <w:spacing w:before="144" w:after="144"/>
              <w:jc w:val="center"/>
            </w:pPr>
            <w:r w:rsidRPr="002A1751">
              <w:t>Unbanked population</w:t>
            </w:r>
            <w:r w:rsidRPr="002A1751">
              <w:rPr>
                <w:vertAlign w:val="superscript"/>
              </w:rPr>
              <w:footnoteReference w:id="60"/>
            </w:r>
          </w:p>
        </w:tc>
        <w:tc>
          <w:tcPr>
            <w:tcW w:w="1094" w:type="pct"/>
          </w:tcPr>
          <w:p w14:paraId="094324C7" w14:textId="77777777" w:rsidR="00A21DE9" w:rsidRPr="002A1751" w:rsidRDefault="00A21DE9" w:rsidP="000131AF">
            <w:pPr>
              <w:spacing w:before="144" w:after="144"/>
              <w:jc w:val="right"/>
            </w:pPr>
            <w:r w:rsidRPr="002A1751">
              <w:t>Year introduced</w:t>
            </w:r>
          </w:p>
        </w:tc>
      </w:tr>
      <w:tr w:rsidR="00185772" w:rsidRPr="002A1751" w14:paraId="71F2C935" w14:textId="77777777" w:rsidTr="00185772">
        <w:trPr>
          <w:cnfStyle w:val="000000100000" w:firstRow="0" w:lastRow="0" w:firstColumn="0" w:lastColumn="0" w:oddVBand="0" w:evenVBand="0" w:oddHBand="1" w:evenHBand="0" w:firstRowFirstColumn="0" w:firstRowLastColumn="0" w:lastRowFirstColumn="0" w:lastRowLastColumn="0"/>
          <w:trHeight w:val="321"/>
        </w:trPr>
        <w:tc>
          <w:tcPr>
            <w:tcW w:w="1015" w:type="pct"/>
          </w:tcPr>
          <w:p w14:paraId="7C892D87" w14:textId="64138919" w:rsidR="00185772" w:rsidRPr="002A1751" w:rsidRDefault="00185772" w:rsidP="00185772">
            <w:pPr>
              <w:spacing w:before="144" w:after="144"/>
            </w:pPr>
            <w:r>
              <w:t>Canada</w:t>
            </w:r>
          </w:p>
        </w:tc>
        <w:tc>
          <w:tcPr>
            <w:tcW w:w="1797" w:type="pct"/>
          </w:tcPr>
          <w:p w14:paraId="35A496A5" w14:textId="47B89DE6" w:rsidR="00185772" w:rsidRPr="002A1751" w:rsidRDefault="00185772" w:rsidP="00185772">
            <w:pPr>
              <w:spacing w:before="144" w:after="144"/>
            </w:pPr>
            <w:r w:rsidRPr="002A1751">
              <w:t>Conduct Authority</w:t>
            </w:r>
          </w:p>
        </w:tc>
        <w:tc>
          <w:tcPr>
            <w:tcW w:w="1093" w:type="pct"/>
          </w:tcPr>
          <w:p w14:paraId="06340280" w14:textId="247CFA73" w:rsidR="00185772" w:rsidRPr="002A1751" w:rsidRDefault="00185772" w:rsidP="00185772">
            <w:pPr>
              <w:spacing w:before="144" w:after="144"/>
              <w:jc w:val="right"/>
            </w:pPr>
            <w:r w:rsidRPr="002A1751">
              <w:t>0</w:t>
            </w:r>
            <w:r w:rsidR="002F6157">
              <w:t>.4</w:t>
            </w:r>
            <w:r w:rsidRPr="002A1751">
              <w:t>%</w:t>
            </w:r>
          </w:p>
        </w:tc>
        <w:tc>
          <w:tcPr>
            <w:tcW w:w="1094" w:type="pct"/>
          </w:tcPr>
          <w:p w14:paraId="145091B7" w14:textId="394861E6" w:rsidR="00185772" w:rsidRPr="002A1751" w:rsidRDefault="00185772" w:rsidP="00185772">
            <w:pPr>
              <w:spacing w:before="144" w:after="144"/>
              <w:jc w:val="right"/>
            </w:pPr>
            <w:r w:rsidRPr="002A1751">
              <w:t>2003</w:t>
            </w:r>
            <w:r w:rsidRPr="00F75784">
              <w:rPr>
                <w:vertAlign w:val="superscript"/>
              </w:rPr>
              <w:footnoteReference w:id="61"/>
            </w:r>
          </w:p>
        </w:tc>
      </w:tr>
      <w:tr w:rsidR="00201846" w:rsidRPr="002A1751" w14:paraId="09348E81" w14:textId="77777777" w:rsidTr="00185772">
        <w:trPr>
          <w:cnfStyle w:val="000000010000" w:firstRow="0" w:lastRow="0" w:firstColumn="0" w:lastColumn="0" w:oddVBand="0" w:evenVBand="0" w:oddHBand="0" w:evenHBand="1" w:firstRowFirstColumn="0" w:firstRowLastColumn="0" w:lastRowFirstColumn="0" w:lastRowLastColumn="0"/>
          <w:trHeight w:val="417"/>
        </w:trPr>
        <w:tc>
          <w:tcPr>
            <w:tcW w:w="1015" w:type="pct"/>
          </w:tcPr>
          <w:p w14:paraId="0A1DEB25" w14:textId="41ACB88F" w:rsidR="00201846" w:rsidRPr="002A1751" w:rsidRDefault="00201846" w:rsidP="00201846">
            <w:pPr>
              <w:spacing w:before="144" w:after="144"/>
            </w:pPr>
            <w:r w:rsidRPr="002A1751">
              <w:t>Denmark</w:t>
            </w:r>
          </w:p>
        </w:tc>
        <w:tc>
          <w:tcPr>
            <w:tcW w:w="1797" w:type="pct"/>
          </w:tcPr>
          <w:p w14:paraId="38D2ABB4" w14:textId="1A312303" w:rsidR="00201846" w:rsidRPr="002A1751" w:rsidRDefault="00201846" w:rsidP="00201846">
            <w:pPr>
              <w:spacing w:before="144" w:after="144"/>
            </w:pPr>
            <w:r w:rsidRPr="002A1751">
              <w:t>Supervisory Authority</w:t>
            </w:r>
          </w:p>
        </w:tc>
        <w:tc>
          <w:tcPr>
            <w:tcW w:w="1093" w:type="pct"/>
          </w:tcPr>
          <w:p w14:paraId="0511FA40" w14:textId="6A18F47E" w:rsidR="00201846" w:rsidRPr="002A1751" w:rsidRDefault="00201846" w:rsidP="00201846">
            <w:pPr>
              <w:spacing w:before="144" w:after="144"/>
              <w:jc w:val="right"/>
            </w:pPr>
            <w:r w:rsidRPr="002A1751">
              <w:t>0%</w:t>
            </w:r>
          </w:p>
        </w:tc>
        <w:tc>
          <w:tcPr>
            <w:tcW w:w="1094" w:type="pct"/>
          </w:tcPr>
          <w:p w14:paraId="1DBA2545" w14:textId="5A686DC6" w:rsidR="00201846" w:rsidRPr="002A1751" w:rsidRDefault="00201846" w:rsidP="00201846">
            <w:pPr>
              <w:spacing w:before="144" w:after="144"/>
              <w:jc w:val="right"/>
            </w:pPr>
            <w:r w:rsidRPr="002A1751">
              <w:t>1987</w:t>
            </w:r>
          </w:p>
        </w:tc>
      </w:tr>
      <w:tr w:rsidR="00201846" w:rsidRPr="002A1751" w14:paraId="3E368805" w14:textId="77777777" w:rsidTr="00185772">
        <w:trPr>
          <w:cnfStyle w:val="000000100000" w:firstRow="0" w:lastRow="0" w:firstColumn="0" w:lastColumn="0" w:oddVBand="0" w:evenVBand="0" w:oddHBand="1" w:evenHBand="0" w:firstRowFirstColumn="0" w:firstRowLastColumn="0" w:lastRowFirstColumn="0" w:lastRowLastColumn="0"/>
          <w:trHeight w:val="417"/>
        </w:trPr>
        <w:tc>
          <w:tcPr>
            <w:tcW w:w="1015" w:type="pct"/>
          </w:tcPr>
          <w:p w14:paraId="404B9473" w14:textId="73482343" w:rsidR="00201846" w:rsidRPr="002A1751" w:rsidRDefault="00201846" w:rsidP="00201846">
            <w:pPr>
              <w:spacing w:before="144" w:after="144"/>
            </w:pPr>
            <w:r w:rsidRPr="002A1751">
              <w:t>France</w:t>
            </w:r>
          </w:p>
        </w:tc>
        <w:tc>
          <w:tcPr>
            <w:tcW w:w="1797" w:type="pct"/>
          </w:tcPr>
          <w:p w14:paraId="2E8AD25A" w14:textId="317DB57B" w:rsidR="00201846" w:rsidRPr="002A1751" w:rsidRDefault="00201846" w:rsidP="00201846">
            <w:pPr>
              <w:spacing w:before="144" w:after="144"/>
            </w:pPr>
            <w:r w:rsidRPr="002A1751">
              <w:t>Supervisory Authority</w:t>
            </w:r>
          </w:p>
        </w:tc>
        <w:tc>
          <w:tcPr>
            <w:tcW w:w="1093" w:type="pct"/>
          </w:tcPr>
          <w:p w14:paraId="1EB4809E" w14:textId="39F5CD07" w:rsidR="00201846" w:rsidRPr="002A1751" w:rsidRDefault="002F6157" w:rsidP="00201846">
            <w:pPr>
              <w:spacing w:before="144" w:after="144"/>
              <w:jc w:val="right"/>
            </w:pPr>
            <w:r>
              <w:t>0.8</w:t>
            </w:r>
            <w:r w:rsidR="00201846" w:rsidRPr="002A1751">
              <w:t>%</w:t>
            </w:r>
          </w:p>
        </w:tc>
        <w:tc>
          <w:tcPr>
            <w:tcW w:w="1094" w:type="pct"/>
          </w:tcPr>
          <w:p w14:paraId="0DB6F08A" w14:textId="2AC11078" w:rsidR="00201846" w:rsidRPr="002A1751" w:rsidRDefault="00201846" w:rsidP="00201846">
            <w:pPr>
              <w:spacing w:before="144" w:after="144"/>
              <w:jc w:val="right"/>
            </w:pPr>
            <w:r w:rsidRPr="002A1751">
              <w:t>1984</w:t>
            </w:r>
            <w:r w:rsidRPr="00F75784">
              <w:rPr>
                <w:vertAlign w:val="superscript"/>
              </w:rPr>
              <w:footnoteReference w:id="62"/>
            </w:r>
          </w:p>
        </w:tc>
      </w:tr>
      <w:tr w:rsidR="00F75784" w:rsidRPr="002A1751" w14:paraId="0B8BF8DB" w14:textId="77777777" w:rsidTr="00185772">
        <w:trPr>
          <w:cnfStyle w:val="000000010000" w:firstRow="0" w:lastRow="0" w:firstColumn="0" w:lastColumn="0" w:oddVBand="0" w:evenVBand="0" w:oddHBand="0" w:evenHBand="1" w:firstRowFirstColumn="0" w:firstRowLastColumn="0" w:lastRowFirstColumn="0" w:lastRowLastColumn="0"/>
          <w:trHeight w:val="417"/>
        </w:trPr>
        <w:tc>
          <w:tcPr>
            <w:tcW w:w="1015" w:type="pct"/>
          </w:tcPr>
          <w:p w14:paraId="427EB23B" w14:textId="5D9110C1" w:rsidR="00F75784" w:rsidRPr="002A1751" w:rsidRDefault="00F75784" w:rsidP="00F75784">
            <w:pPr>
              <w:spacing w:before="144" w:after="144"/>
            </w:pPr>
            <w:r w:rsidRPr="002A1751">
              <w:t>Ireland</w:t>
            </w:r>
          </w:p>
        </w:tc>
        <w:tc>
          <w:tcPr>
            <w:tcW w:w="1797" w:type="pct"/>
          </w:tcPr>
          <w:p w14:paraId="118862FE" w14:textId="213CAE75" w:rsidR="00F75784" w:rsidRPr="002A1751" w:rsidRDefault="00F75784" w:rsidP="00F75784">
            <w:pPr>
              <w:spacing w:before="144" w:after="144"/>
            </w:pPr>
            <w:r w:rsidRPr="002A1751">
              <w:t>Central Bank</w:t>
            </w:r>
          </w:p>
        </w:tc>
        <w:tc>
          <w:tcPr>
            <w:tcW w:w="1093" w:type="pct"/>
          </w:tcPr>
          <w:p w14:paraId="384A70C8" w14:textId="25E04B68" w:rsidR="00F75784" w:rsidRPr="002A1751" w:rsidRDefault="00D53E63" w:rsidP="00F75784">
            <w:pPr>
              <w:spacing w:before="144" w:after="144"/>
              <w:jc w:val="right"/>
            </w:pPr>
            <w:r>
              <w:t>0.3</w:t>
            </w:r>
            <w:r w:rsidR="00F75784" w:rsidRPr="002A1751">
              <w:t>%</w:t>
            </w:r>
          </w:p>
        </w:tc>
        <w:tc>
          <w:tcPr>
            <w:tcW w:w="1094" w:type="pct"/>
          </w:tcPr>
          <w:p w14:paraId="1AD57F93" w14:textId="2A18AFB3" w:rsidR="00F75784" w:rsidRPr="002A1751" w:rsidRDefault="00F75784" w:rsidP="00F75784">
            <w:pPr>
              <w:spacing w:before="144" w:after="144"/>
              <w:jc w:val="right"/>
            </w:pPr>
            <w:r w:rsidRPr="002A1751">
              <w:t>2016</w:t>
            </w:r>
          </w:p>
        </w:tc>
      </w:tr>
      <w:tr w:rsidR="00F75784" w:rsidRPr="002A1751" w14:paraId="54A9CEC3" w14:textId="77777777" w:rsidTr="00185772">
        <w:trPr>
          <w:cnfStyle w:val="000000100000" w:firstRow="0" w:lastRow="0" w:firstColumn="0" w:lastColumn="0" w:oddVBand="0" w:evenVBand="0" w:oddHBand="1" w:evenHBand="0" w:firstRowFirstColumn="0" w:firstRowLastColumn="0" w:lastRowFirstColumn="0" w:lastRowLastColumn="0"/>
          <w:trHeight w:val="417"/>
        </w:trPr>
        <w:tc>
          <w:tcPr>
            <w:tcW w:w="1015" w:type="pct"/>
          </w:tcPr>
          <w:p w14:paraId="0485B0A1" w14:textId="10193BAC" w:rsidR="00F75784" w:rsidRPr="002A1751" w:rsidRDefault="00F75784" w:rsidP="00F75784">
            <w:pPr>
              <w:spacing w:before="144" w:after="144"/>
            </w:pPr>
            <w:r w:rsidRPr="002A1751">
              <w:t>Sweden</w:t>
            </w:r>
          </w:p>
        </w:tc>
        <w:tc>
          <w:tcPr>
            <w:tcW w:w="1797" w:type="pct"/>
          </w:tcPr>
          <w:p w14:paraId="17D5BAD3" w14:textId="33130090" w:rsidR="00F75784" w:rsidRPr="002A1751" w:rsidRDefault="00F75784" w:rsidP="00F75784">
            <w:pPr>
              <w:spacing w:before="144" w:after="144"/>
            </w:pPr>
            <w:r w:rsidRPr="002A1751">
              <w:t>Central Bank</w:t>
            </w:r>
          </w:p>
        </w:tc>
        <w:tc>
          <w:tcPr>
            <w:tcW w:w="1093" w:type="pct"/>
          </w:tcPr>
          <w:p w14:paraId="7D6CFC2D" w14:textId="53EA8282" w:rsidR="00F75784" w:rsidRPr="002A1751" w:rsidRDefault="00F75784" w:rsidP="00F75784">
            <w:pPr>
              <w:spacing w:before="144" w:after="144"/>
              <w:jc w:val="right"/>
            </w:pPr>
            <w:r w:rsidRPr="002A1751">
              <w:t>0</w:t>
            </w:r>
            <w:r w:rsidR="00D53E63">
              <w:t>.3</w:t>
            </w:r>
            <w:r w:rsidRPr="002A1751">
              <w:t>%</w:t>
            </w:r>
          </w:p>
        </w:tc>
        <w:tc>
          <w:tcPr>
            <w:tcW w:w="1094" w:type="pct"/>
          </w:tcPr>
          <w:p w14:paraId="59134E25" w14:textId="33D95F95" w:rsidR="00F75784" w:rsidRPr="002A1751" w:rsidRDefault="00F75784" w:rsidP="00F75784">
            <w:pPr>
              <w:spacing w:before="144" w:after="144"/>
              <w:jc w:val="right"/>
            </w:pPr>
            <w:r w:rsidRPr="002A1751">
              <w:t>2016</w:t>
            </w:r>
          </w:p>
        </w:tc>
      </w:tr>
      <w:tr w:rsidR="00F75784" w:rsidRPr="002A1751" w14:paraId="6AE1350D" w14:textId="77777777" w:rsidTr="00185772">
        <w:trPr>
          <w:cnfStyle w:val="000000010000" w:firstRow="0" w:lastRow="0" w:firstColumn="0" w:lastColumn="0" w:oddVBand="0" w:evenVBand="0" w:oddHBand="0" w:evenHBand="1" w:firstRowFirstColumn="0" w:firstRowLastColumn="0" w:lastRowFirstColumn="0" w:lastRowLastColumn="0"/>
          <w:trHeight w:val="417"/>
        </w:trPr>
        <w:tc>
          <w:tcPr>
            <w:tcW w:w="1015" w:type="pct"/>
          </w:tcPr>
          <w:p w14:paraId="089C73AF" w14:textId="3534A847" w:rsidR="00F75784" w:rsidRPr="002A1751" w:rsidRDefault="00F75784" w:rsidP="00F75784">
            <w:pPr>
              <w:spacing w:before="144" w:after="144"/>
            </w:pPr>
            <w:r w:rsidRPr="002A1751">
              <w:t>UK</w:t>
            </w:r>
          </w:p>
        </w:tc>
        <w:tc>
          <w:tcPr>
            <w:tcW w:w="1797" w:type="pct"/>
          </w:tcPr>
          <w:p w14:paraId="750EA73C" w14:textId="40287AC5" w:rsidR="00F75784" w:rsidRPr="002A1751" w:rsidRDefault="00F75784" w:rsidP="00F75784">
            <w:pPr>
              <w:spacing w:before="144" w:after="144"/>
            </w:pPr>
            <w:r w:rsidRPr="002A1751">
              <w:t>Conduct Authority</w:t>
            </w:r>
          </w:p>
        </w:tc>
        <w:tc>
          <w:tcPr>
            <w:tcW w:w="1093" w:type="pct"/>
          </w:tcPr>
          <w:p w14:paraId="4E329E82" w14:textId="1E25C249" w:rsidR="00F75784" w:rsidRPr="002A1751" w:rsidRDefault="00F75784" w:rsidP="00F75784">
            <w:pPr>
              <w:spacing w:before="144" w:after="144"/>
              <w:jc w:val="right"/>
            </w:pPr>
            <w:r w:rsidRPr="002A1751">
              <w:t>0</w:t>
            </w:r>
            <w:r w:rsidR="00D53E63">
              <w:t>.2</w:t>
            </w:r>
            <w:r w:rsidRPr="002A1751">
              <w:t>%</w:t>
            </w:r>
          </w:p>
        </w:tc>
        <w:tc>
          <w:tcPr>
            <w:tcW w:w="1094" w:type="pct"/>
          </w:tcPr>
          <w:p w14:paraId="06F7C8DB" w14:textId="17761F83" w:rsidR="00F75784" w:rsidRPr="002A1751" w:rsidRDefault="00F75784" w:rsidP="00F75784">
            <w:pPr>
              <w:spacing w:before="144" w:after="144"/>
              <w:jc w:val="right"/>
            </w:pPr>
            <w:r w:rsidRPr="002A1751">
              <w:t>2015</w:t>
            </w:r>
            <w:r w:rsidRPr="00F75784">
              <w:rPr>
                <w:vertAlign w:val="superscript"/>
              </w:rPr>
              <w:footnoteReference w:id="63"/>
            </w:r>
          </w:p>
        </w:tc>
      </w:tr>
    </w:tbl>
    <w:p w14:paraId="1986822B" w14:textId="77777777" w:rsidR="00B4466E" w:rsidRDefault="00B4466E" w:rsidP="002A1751">
      <w:pPr>
        <w:pStyle w:val="InbetweenTableSpacing"/>
      </w:pPr>
    </w:p>
    <w:p w14:paraId="03EE9930" w14:textId="2677F092" w:rsidR="00954DF4" w:rsidRDefault="00DB37E1" w:rsidP="002A1751">
      <w:r>
        <w:t>B</w:t>
      </w:r>
      <w:r w:rsidR="1FABEF12">
        <w:t>asic</w:t>
      </w:r>
      <w:r w:rsidR="00CD7DAA" w:rsidRPr="007C14D9">
        <w:t xml:space="preserve"> banking approaches are generally considered effective for improving financial inclusion and access to basic transaction accounts,</w:t>
      </w:r>
      <w:r w:rsidR="00CD7DAA">
        <w:t xml:space="preserve"> but</w:t>
      </w:r>
      <w:r w:rsidR="00CD7DAA" w:rsidRPr="007C14D9">
        <w:t xml:space="preserve"> their success</w:t>
      </w:r>
      <w:r w:rsidR="00CD7DAA">
        <w:t xml:space="preserve"> </w:t>
      </w:r>
      <w:r w:rsidR="006A58D4">
        <w:t xml:space="preserve">rate </w:t>
      </w:r>
      <w:r w:rsidR="00CD7DAA">
        <w:t>can</w:t>
      </w:r>
      <w:r w:rsidR="00CD7DAA" w:rsidRPr="007C14D9">
        <w:t xml:space="preserve"> var</w:t>
      </w:r>
      <w:r w:rsidR="00CD7DAA">
        <w:t>y</w:t>
      </w:r>
      <w:r w:rsidR="00CD7DAA" w:rsidRPr="007C14D9">
        <w:t>.</w:t>
      </w:r>
      <w:r w:rsidR="00CD7DAA">
        <w:rPr>
          <w:rStyle w:val="FootnoteReference"/>
        </w:rPr>
        <w:footnoteReference w:id="64"/>
      </w:r>
      <w:r w:rsidR="00CD7DAA">
        <w:t xml:space="preserve"> </w:t>
      </w:r>
      <w:r w:rsidR="084BF318">
        <w:t xml:space="preserve">Figure </w:t>
      </w:r>
      <w:r w:rsidR="00731329">
        <w:t>three</w:t>
      </w:r>
      <w:r w:rsidR="084BF318">
        <w:t xml:space="preserve"> below shows </w:t>
      </w:r>
      <w:r w:rsidR="6D3B9E06">
        <w:t xml:space="preserve">that </w:t>
      </w:r>
      <w:r w:rsidR="0063664B">
        <w:t xml:space="preserve">the </w:t>
      </w:r>
      <w:r w:rsidR="6D3B9E06">
        <w:t xml:space="preserve">countries </w:t>
      </w:r>
      <w:r w:rsidR="0063664B">
        <w:t>studied in this report</w:t>
      </w:r>
      <w:r w:rsidR="6D3B9E06">
        <w:t xml:space="preserve"> have </w:t>
      </w:r>
      <w:r w:rsidR="0063664B">
        <w:t>generally</w:t>
      </w:r>
      <w:r w:rsidR="6D3B9E06">
        <w:t xml:space="preserve"> improved their </w:t>
      </w:r>
      <w:r w:rsidR="18BF6D83">
        <w:t xml:space="preserve">level of </w:t>
      </w:r>
      <w:r w:rsidR="6D3B9E06">
        <w:t xml:space="preserve">access to bank accounts over time. </w:t>
      </w:r>
      <w:r w:rsidR="00731329">
        <w:t>T</w:t>
      </w:r>
      <w:r w:rsidR="00895B8F">
        <w:t>he</w:t>
      </w:r>
      <w:r w:rsidR="0063664B">
        <w:t xml:space="preserve"> case studies </w:t>
      </w:r>
      <w:r w:rsidR="00895B8F">
        <w:t xml:space="preserve">presented </w:t>
      </w:r>
      <w:r w:rsidR="00731329">
        <w:t xml:space="preserve">in Figure Three generally </w:t>
      </w:r>
      <w:r w:rsidR="00895B8F">
        <w:t>show a</w:t>
      </w:r>
      <w:r w:rsidR="0063664B">
        <w:t xml:space="preserve"> correlation between the implementation of </w:t>
      </w:r>
      <w:r w:rsidR="0063664B" w:rsidRPr="00616618">
        <w:t xml:space="preserve">regulatory requirements for basic transaction accounts and </w:t>
      </w:r>
      <w:r w:rsidR="00731329" w:rsidRPr="00616618">
        <w:t xml:space="preserve">a </w:t>
      </w:r>
      <w:r w:rsidR="00895B8F" w:rsidRPr="00616618">
        <w:t>decreas</w:t>
      </w:r>
      <w:r w:rsidR="00731329" w:rsidRPr="00616618">
        <w:t>e in the</w:t>
      </w:r>
      <w:r w:rsidR="0063664B" w:rsidRPr="00616618">
        <w:t xml:space="preserve"> unbanked population</w:t>
      </w:r>
      <w:r w:rsidR="008E3F7C" w:rsidRPr="00616618">
        <w:t xml:space="preserve"> between 2011 and 2021</w:t>
      </w:r>
      <w:r w:rsidR="0063664B" w:rsidRPr="00616618">
        <w:t xml:space="preserve">. </w:t>
      </w:r>
      <w:r w:rsidR="005D2577" w:rsidRPr="00616618">
        <w:rPr>
          <w:rStyle w:val="Emphasis"/>
        </w:rPr>
        <w:t>Appendix</w:t>
      </w:r>
      <w:r w:rsidR="005D2577" w:rsidRPr="00616618" w:rsidDel="0098530C">
        <w:rPr>
          <w:rStyle w:val="Emphasis"/>
        </w:rPr>
        <w:t xml:space="preserve"> </w:t>
      </w:r>
      <w:r w:rsidR="005D2577" w:rsidRPr="00616618">
        <w:rPr>
          <w:rStyle w:val="Emphasis"/>
        </w:rPr>
        <w:t>One</w:t>
      </w:r>
      <w:r w:rsidR="005D2577" w:rsidRPr="00616618">
        <w:rPr>
          <w:b/>
        </w:rPr>
        <w:t xml:space="preserve"> </w:t>
      </w:r>
      <w:r w:rsidR="005D2577" w:rsidRPr="00616618">
        <w:t xml:space="preserve">provides </w:t>
      </w:r>
      <w:r w:rsidR="00C21243" w:rsidRPr="00616618">
        <w:t xml:space="preserve">further </w:t>
      </w:r>
      <w:r w:rsidR="005D2577" w:rsidRPr="00616618">
        <w:t>information on the</w:t>
      </w:r>
      <w:r w:rsidR="00C21243" w:rsidRPr="00616618">
        <w:t xml:space="preserve"> approaches</w:t>
      </w:r>
      <w:r w:rsidR="003B65E3" w:rsidRPr="00616618">
        <w:t xml:space="preserve"> take</w:t>
      </w:r>
      <w:r w:rsidR="00731329" w:rsidRPr="00616618">
        <w:t>n</w:t>
      </w:r>
      <w:r w:rsidR="003B65E3" w:rsidRPr="00616618">
        <w:t xml:space="preserve"> to implement basic transaction accounts</w:t>
      </w:r>
      <w:r w:rsidR="00C21243" w:rsidRPr="00616618">
        <w:t xml:space="preserve"> </w:t>
      </w:r>
      <w:r w:rsidR="00895289" w:rsidRPr="00616618">
        <w:t>in these case studies.</w:t>
      </w:r>
      <w:r w:rsidR="00895289">
        <w:t xml:space="preserve"> </w:t>
      </w:r>
    </w:p>
    <w:p w14:paraId="2593A627" w14:textId="1FC43891" w:rsidR="00895289" w:rsidRDefault="00895289" w:rsidP="00895289">
      <w:pPr>
        <w:pStyle w:val="Caption"/>
      </w:pPr>
      <w:bookmarkStart w:id="44" w:name="_Toc195096949"/>
      <w:r>
        <w:t xml:space="preserve">Figure </w:t>
      </w:r>
      <w:r>
        <w:fldChar w:fldCharType="begin"/>
      </w:r>
      <w:r>
        <w:instrText xml:space="preserve"> SEQ Figure \* ARABIC </w:instrText>
      </w:r>
      <w:r>
        <w:fldChar w:fldCharType="separate"/>
      </w:r>
      <w:r w:rsidR="00DA348C">
        <w:rPr>
          <w:noProof/>
        </w:rPr>
        <w:t>3</w:t>
      </w:r>
      <w:r>
        <w:fldChar w:fldCharType="end"/>
      </w:r>
      <w:r>
        <w:t>: Access to bank accounts (%) 2011-2021</w:t>
      </w:r>
      <w:bookmarkEnd w:id="44"/>
    </w:p>
    <w:p w14:paraId="2C59F991" w14:textId="77777777" w:rsidR="00895289" w:rsidRDefault="00895289" w:rsidP="00895289">
      <w:pPr>
        <w:jc w:val="center"/>
      </w:pPr>
      <w:r>
        <w:rPr>
          <w:noProof/>
          <w14:ligatures w14:val="standardContextual"/>
        </w:rPr>
        <w:drawing>
          <wp:inline distT="0" distB="0" distL="0" distR="0" wp14:anchorId="1A5675DA" wp14:editId="01F3DA35">
            <wp:extent cx="5454595" cy="2456953"/>
            <wp:effectExtent l="0" t="0" r="13335" b="635"/>
            <wp:docPr id="531990271" name="Chart 1">
              <a:extLst xmlns:a="http://schemas.openxmlformats.org/drawingml/2006/main">
                <a:ext uri="{FF2B5EF4-FFF2-40B4-BE49-F238E27FC236}">
                  <a16:creationId xmlns:a16="http://schemas.microsoft.com/office/drawing/2014/main" id="{EA2F25DE-15BC-4201-44C9-423001CF5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ABAB0F" w14:textId="12C7E986" w:rsidR="00895289" w:rsidRPr="00C251A5" w:rsidRDefault="00895289" w:rsidP="00895289">
      <w:pPr>
        <w:rPr>
          <w:sz w:val="18"/>
          <w:szCs w:val="18"/>
        </w:rPr>
      </w:pPr>
      <w:r w:rsidRPr="00C251A5">
        <w:rPr>
          <w:sz w:val="18"/>
          <w:szCs w:val="18"/>
        </w:rPr>
        <w:t>Source: World Bank Global Findex Database.</w:t>
      </w:r>
    </w:p>
    <w:p w14:paraId="01514306" w14:textId="14763F8F" w:rsidR="00D75763" w:rsidRDefault="00D75763" w:rsidP="002A1751">
      <w:r>
        <w:rPr>
          <w:noProof/>
        </w:rPr>
        <w:lastRenderedPageBreak/>
        <mc:AlternateContent>
          <mc:Choice Requires="wps">
            <w:drawing>
              <wp:anchor distT="45720" distB="45720" distL="114300" distR="114300" simplePos="0" relativeHeight="251664385" behindDoc="0" locked="0" layoutInCell="1" allowOverlap="1" wp14:anchorId="17711357" wp14:editId="4D039873">
                <wp:simplePos x="0" y="0"/>
                <wp:positionH relativeFrom="margin">
                  <wp:align>right</wp:align>
                </wp:positionH>
                <wp:positionV relativeFrom="paragraph">
                  <wp:posOffset>0</wp:posOffset>
                </wp:positionV>
                <wp:extent cx="5732780" cy="1404620"/>
                <wp:effectExtent l="0" t="0" r="20320" b="12065"/>
                <wp:wrapSquare wrapText="bothSides"/>
                <wp:docPr id="299856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solidFill>
                          <a:schemeClr val="bg1">
                            <a:lumMod val="95000"/>
                          </a:schemeClr>
                        </a:solidFill>
                        <a:ln w="9525">
                          <a:solidFill>
                            <a:srgbClr val="000000"/>
                          </a:solidFill>
                          <a:miter lim="800000"/>
                          <a:headEnd/>
                          <a:tailEnd/>
                        </a:ln>
                      </wps:spPr>
                      <wps:txbx>
                        <w:txbxContent>
                          <w:p w14:paraId="4C7B79BD" w14:textId="3D24215B" w:rsidR="00D75763" w:rsidRDefault="00D75763">
                            <w:r w:rsidRPr="00D62CCB">
                              <w:rPr>
                                <w:b/>
                                <w:bCs/>
                              </w:rPr>
                              <w:t>Figure 3 chart text alternative:</w:t>
                            </w:r>
                            <w:r>
                              <w:t xml:space="preserve"> </w:t>
                            </w:r>
                            <w:r w:rsidR="00D62CCB">
                              <w:t xml:space="preserve">This chart highlights access to bank accounts in Canada, Denmark, France, Ireland, Sweden and the UK. This chart shows that the distribution has shifted in most countries towards access to bank accounts being close to 100% in 2021.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11357" id="_x0000_s1028" type="#_x0000_t202" style="position:absolute;margin-left:400.2pt;margin-top:0;width:451.4pt;height:110.6pt;z-index:251664385;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" fillcolor="#f2f2f2 [3052]">
                <v:textbox style="mso-fit-shape-to-text:t">
                  <w:txbxContent>
                    <w:p w14:paraId="4C7B79BD" w14:textId="3D24215B" w:rsidR="00D75763" w:rsidRDefault="00D75763">
                      <w:r w:rsidRPr="00D62CCB">
                        <w:rPr>
                          <w:b/>
                          <w:bCs/>
                        </w:rPr>
                        <w:t>Figure 3 chart text alternative:</w:t>
                      </w:r>
                      <w:r>
                        <w:t xml:space="preserve"> </w:t>
                      </w:r>
                      <w:r w:rsidR="00D62CCB">
                        <w:t xml:space="preserve">This chart highlights access to bank accounts in Canada, Denmark, France, Ireland, Sweden and the UK. This chart shows that the distribution has shifted in most countries towards access to bank accounts being close to 100% in 2021.  </w:t>
                      </w:r>
                    </w:p>
                  </w:txbxContent>
                </v:textbox>
                <w10:wrap type="square" anchorx="margin"/>
              </v:shape>
            </w:pict>
          </mc:Fallback>
        </mc:AlternateContent>
      </w:r>
    </w:p>
    <w:p w14:paraId="75D569D1" w14:textId="0376D836" w:rsidR="00714A51" w:rsidRDefault="000A2E02" w:rsidP="002A1751">
      <w:r w:rsidRPr="007C14D9">
        <w:t xml:space="preserve">The effectiveness of basic banking regimes </w:t>
      </w:r>
      <w:r w:rsidR="00CD7DAA">
        <w:t>can be</w:t>
      </w:r>
      <w:r w:rsidRPr="007C14D9">
        <w:t xml:space="preserve"> constrained by factors such as limited consumer awareness, banks' reluctance to proactively offer basic accounts, and prohibitive costs.</w:t>
      </w:r>
      <w:r w:rsidR="00B10397">
        <w:rPr>
          <w:rStyle w:val="FootnoteReference"/>
        </w:rPr>
        <w:footnoteReference w:id="65"/>
      </w:r>
      <w:r w:rsidRPr="007C14D9">
        <w:t xml:space="preserve"> </w:t>
      </w:r>
      <w:r w:rsidR="00CD7DAA">
        <w:t>I</w:t>
      </w:r>
      <w:r w:rsidRPr="007C14D9">
        <w:t>nconsistent measurement efforts</w:t>
      </w:r>
      <w:r w:rsidR="00CD7DAA">
        <w:t xml:space="preserve"> between jurisdictions can</w:t>
      </w:r>
      <w:r w:rsidRPr="007C14D9">
        <w:t xml:space="preserve"> complicate comparisons, </w:t>
      </w:r>
      <w:r w:rsidR="00CD7DAA">
        <w:t xml:space="preserve">however, </w:t>
      </w:r>
      <w:r w:rsidRPr="007C14D9">
        <w:t xml:space="preserve">several best practices have emerged. </w:t>
      </w:r>
      <w:r w:rsidR="00F35D01">
        <w:t>These</w:t>
      </w:r>
      <w:r w:rsidRPr="007C14D9">
        <w:t xml:space="preserve"> include regulatory </w:t>
      </w:r>
      <w:r w:rsidR="00AA3C8B">
        <w:t>measures such as</w:t>
      </w:r>
      <w:r w:rsidRPr="007C14D9">
        <w:t xml:space="preserve"> </w:t>
      </w:r>
      <w:r w:rsidR="00AA3C8B">
        <w:t>assigning</w:t>
      </w:r>
      <w:r w:rsidR="00CD7DAA">
        <w:t xml:space="preserve"> people transaction accounts</w:t>
      </w:r>
      <w:r w:rsidRPr="007C14D9">
        <w:t xml:space="preserve"> </w:t>
      </w:r>
      <w:r w:rsidR="00CD7DAA">
        <w:t xml:space="preserve">at a financial institution </w:t>
      </w:r>
      <w:r w:rsidRPr="007C14D9">
        <w:t>for rejected applicants</w:t>
      </w:r>
      <w:r w:rsidR="00895289">
        <w:t xml:space="preserve"> (see Banque de France case study below)</w:t>
      </w:r>
      <w:r w:rsidRPr="007C14D9">
        <w:t xml:space="preserve">, clarifying AML/CFT requirements, ensuring affordability through cost-free or low-fee accounts, </w:t>
      </w:r>
      <w:r w:rsidR="00AA3C8B">
        <w:t>increasing</w:t>
      </w:r>
      <w:r w:rsidRPr="007C14D9">
        <w:t xml:space="preserve"> consumer awareness, and </w:t>
      </w:r>
      <w:r w:rsidR="2887F282" w:rsidRPr="007C14D9">
        <w:t>supporti</w:t>
      </w:r>
      <w:r w:rsidR="2887F282">
        <w:t xml:space="preserve">ng </w:t>
      </w:r>
      <w:r w:rsidRPr="007C14D9">
        <w:t>financial literacy program</w:t>
      </w:r>
      <w:r w:rsidR="6687AFEA" w:rsidRPr="007C14D9">
        <w:t>me</w:t>
      </w:r>
      <w:r w:rsidRPr="007C14D9">
        <w:t>s</w:t>
      </w:r>
      <w:r w:rsidR="00CD7DAA">
        <w:t xml:space="preserve"> related to basic bank account ownership</w:t>
      </w:r>
      <w:r w:rsidRPr="007C14D9">
        <w:t>.</w:t>
      </w:r>
      <w:r w:rsidR="00B10397">
        <w:rPr>
          <w:rStyle w:val="FootnoteReference"/>
        </w:rPr>
        <w:footnoteReference w:id="66"/>
      </w:r>
      <w:r w:rsidRPr="007C14D9">
        <w:t xml:space="preserve"> </w:t>
      </w:r>
      <w:r w:rsidR="00714A51" w:rsidRPr="006B5C11">
        <w:t xml:space="preserve">Regulatory approaches </w:t>
      </w:r>
      <w:r w:rsidR="00CD7DAA">
        <w:t xml:space="preserve">have been a common </w:t>
      </w:r>
      <w:r w:rsidR="00714A51" w:rsidRPr="006B5C11">
        <w:t xml:space="preserve">tool </w:t>
      </w:r>
      <w:r w:rsidR="006B5C11">
        <w:t xml:space="preserve">for </w:t>
      </w:r>
      <w:r w:rsidR="00714A51" w:rsidRPr="006B5C11">
        <w:t xml:space="preserve">financial regulators to </w:t>
      </w:r>
      <w:r w:rsidR="006B5C11" w:rsidRPr="006B5C11">
        <w:t xml:space="preserve">set </w:t>
      </w:r>
      <w:r w:rsidR="006B5C11">
        <w:t xml:space="preserve">standards and </w:t>
      </w:r>
      <w:r w:rsidR="006B5C11" w:rsidRPr="006B5C11">
        <w:t xml:space="preserve">requirements for </w:t>
      </w:r>
      <w:r w:rsidR="00CD7DAA">
        <w:t xml:space="preserve">a minimum level of </w:t>
      </w:r>
      <w:r w:rsidR="006B5C11">
        <w:t>access to</w:t>
      </w:r>
      <w:r w:rsidR="00CD7DAA">
        <w:t xml:space="preserve"> a</w:t>
      </w:r>
      <w:r w:rsidR="006B5C11">
        <w:t xml:space="preserve"> basic transaction account. </w:t>
      </w:r>
    </w:p>
    <w:p w14:paraId="76C0EE13" w14:textId="7DC7CD62" w:rsidR="00FA6F30" w:rsidRPr="00B114DB" w:rsidRDefault="00FA6F30" w:rsidP="00FA6F30">
      <w:pPr>
        <w:pStyle w:val="Source"/>
      </w:pPr>
    </w:p>
    <w:tbl>
      <w:tblPr>
        <w:tblStyle w:val="CaseStudy"/>
        <w:tblW w:w="5000" w:type="pct"/>
        <w:tblLook w:val="0600" w:firstRow="0" w:lastRow="0" w:firstColumn="0" w:lastColumn="0" w:noHBand="1" w:noVBand="1"/>
      </w:tblPr>
      <w:tblGrid>
        <w:gridCol w:w="9070"/>
      </w:tblGrid>
      <w:tr w:rsidR="002A1751" w14:paraId="1E35EB79" w14:textId="77777777" w:rsidTr="000D4362">
        <w:tc>
          <w:tcPr>
            <w:tcW w:w="5000" w:type="pct"/>
          </w:tcPr>
          <w:p w14:paraId="6696023C" w14:textId="062AF36B" w:rsidR="002A1751" w:rsidRPr="008D280B" w:rsidRDefault="002A1751" w:rsidP="00FB2AD0">
            <w:pPr>
              <w:pStyle w:val="HighlightSectionCaseStudyHeading"/>
            </w:pPr>
            <w:r w:rsidRPr="008D280B">
              <w:t xml:space="preserve">Case Study: Banque de France </w:t>
            </w:r>
            <w:r w:rsidR="004B62C6">
              <w:t>– Right to a Basic Bank Account</w:t>
            </w:r>
          </w:p>
          <w:p w14:paraId="765461B9" w14:textId="4E08D243" w:rsidR="002A1751" w:rsidRDefault="002A1751" w:rsidP="00FB2AD0">
            <w:pPr>
              <w:spacing w:after="0"/>
            </w:pPr>
            <w:r w:rsidRPr="007C14D9">
              <w:t xml:space="preserve">The Banque de France </w:t>
            </w:r>
            <w:r>
              <w:t xml:space="preserve">has introduced </w:t>
            </w:r>
            <w:r w:rsidRPr="007C14D9">
              <w:t>a right to a basic bank account as part of its financial inclusion framework. This right, enshrined in French law under the Monetary and Financial Code, applies to any French resident or French citizen living abroad who lacks a deposit account.</w:t>
            </w:r>
            <w:r>
              <w:rPr>
                <w:rStyle w:val="FootnoteReference"/>
              </w:rPr>
              <w:footnoteReference w:id="67"/>
            </w:r>
            <w:r w:rsidRPr="007C14D9">
              <w:t xml:space="preserve"> The process relies on a 'match-making model' where the Banque de France designates a financial institution to provide a basic transaction account if </w:t>
            </w:r>
            <w:r>
              <w:t>someone</w:t>
            </w:r>
            <w:r w:rsidRPr="007C14D9">
              <w:t xml:space="preserve"> </w:t>
            </w:r>
            <w:r>
              <w:t>cannot open</w:t>
            </w:r>
            <w:r w:rsidRPr="007C14D9">
              <w:t xml:space="preserve"> one </w:t>
            </w:r>
            <w:r>
              <w:t>by themselves</w:t>
            </w:r>
            <w:r w:rsidRPr="007C14D9">
              <w:t>.</w:t>
            </w:r>
            <w:r>
              <w:t xml:space="preserve"> </w:t>
            </w:r>
            <w:r w:rsidRPr="007C14D9">
              <w:t xml:space="preserve">The basic transaction account offers essential features including a payment card for online transactions and internet banking, cash deposit and withdrawal capabilities, and direct debit functionality. Between 2007 and 2023, the Banque de France designated between 30,000 and 70,000 basic accounts annually, serving as a regulatory backstop to </w:t>
            </w:r>
            <w:r>
              <w:t>ensure people have access to basic transaction accounts</w:t>
            </w:r>
            <w:r w:rsidRPr="007C14D9">
              <w:t>.</w:t>
            </w:r>
            <w:r w:rsidRPr="00304539">
              <w:rPr>
                <w:rStyle w:val="FootnoteReference"/>
              </w:rPr>
              <w:t xml:space="preserve"> </w:t>
            </w:r>
            <w:r>
              <w:rPr>
                <w:rStyle w:val="FootnoteReference"/>
              </w:rPr>
              <w:footnoteReference w:id="68"/>
            </w:r>
            <w:r w:rsidRPr="007C14D9">
              <w:t xml:space="preserve"> </w:t>
            </w:r>
            <w:r w:rsidR="007A1411">
              <w:t xml:space="preserve">There </w:t>
            </w:r>
            <w:r w:rsidR="00CE6024">
              <w:t>are</w:t>
            </w:r>
            <w:r w:rsidRPr="007C14D9">
              <w:t xml:space="preserve"> ongoing efforts to </w:t>
            </w:r>
            <w:r w:rsidR="007A1411">
              <w:t>facilitate</w:t>
            </w:r>
            <w:r w:rsidRPr="007C14D9">
              <w:t xml:space="preserve"> </w:t>
            </w:r>
            <w:r>
              <w:t>an equal</w:t>
            </w:r>
            <w:r w:rsidRPr="007C14D9">
              <w:t xml:space="preserve"> distribution of </w:t>
            </w:r>
            <w:r w:rsidR="007A1411">
              <w:t>assigned</w:t>
            </w:r>
            <w:r w:rsidRPr="007C14D9">
              <w:t xml:space="preserve"> customers based on </w:t>
            </w:r>
            <w:r w:rsidR="007A1411">
              <w:t xml:space="preserve">the </w:t>
            </w:r>
            <w:r w:rsidRPr="007C14D9">
              <w:t>market share</w:t>
            </w:r>
            <w:r w:rsidR="005E636D">
              <w:t xml:space="preserve"> of the banks</w:t>
            </w:r>
            <w:r w:rsidRPr="007C14D9">
              <w:t>.</w:t>
            </w:r>
          </w:p>
        </w:tc>
      </w:tr>
    </w:tbl>
    <w:p w14:paraId="01162152" w14:textId="77777777" w:rsidR="00652BBC" w:rsidRPr="002A1751" w:rsidRDefault="00652BBC" w:rsidP="002A1751">
      <w:pPr>
        <w:pStyle w:val="Heading2Numbered"/>
      </w:pPr>
      <w:bookmarkStart w:id="45" w:name="_Toc193437691"/>
      <w:bookmarkStart w:id="46" w:name="_Toc196208748"/>
      <w:bookmarkStart w:id="47" w:name="_Hlk194475477"/>
      <w:r w:rsidRPr="002A1751">
        <w:t>Industry-led Voluntary Codes</w:t>
      </w:r>
      <w:bookmarkEnd w:id="45"/>
      <w:bookmarkEnd w:id="46"/>
      <w:r w:rsidRPr="002A1751">
        <w:t xml:space="preserve"> </w:t>
      </w:r>
    </w:p>
    <w:bookmarkEnd w:id="47"/>
    <w:p w14:paraId="36981F0A" w14:textId="60D6BED8" w:rsidR="005B1806" w:rsidRDefault="00652BBC" w:rsidP="002A1751">
      <w:r>
        <w:t>In some jurisdictions</w:t>
      </w:r>
      <w:r w:rsidR="008E3F7C">
        <w:t>,</w:t>
      </w:r>
      <w:r>
        <w:t xml:space="preserve"> voluntary codes have been developed by </w:t>
      </w:r>
      <w:r w:rsidR="00304539">
        <w:t xml:space="preserve">financial institutions </w:t>
      </w:r>
      <w:r>
        <w:t xml:space="preserve">to improve access to basic transaction accounts. </w:t>
      </w:r>
      <w:r w:rsidR="00BE19CA">
        <w:t>Under an in</w:t>
      </w:r>
      <w:r>
        <w:t>dustry</w:t>
      </w:r>
      <w:r w:rsidR="00E64459">
        <w:t>-</w:t>
      </w:r>
      <w:r>
        <w:t xml:space="preserve">led </w:t>
      </w:r>
      <w:r w:rsidR="00BE19CA">
        <w:t xml:space="preserve">approach, </w:t>
      </w:r>
      <w:r w:rsidR="00F728D5">
        <w:t xml:space="preserve">the banking sector </w:t>
      </w:r>
      <w:r w:rsidR="00BE19CA">
        <w:t>set</w:t>
      </w:r>
      <w:r w:rsidR="001560E5">
        <w:t>s out</w:t>
      </w:r>
      <w:r w:rsidR="00F728D5">
        <w:t xml:space="preserve"> shared commitments regarding the provision of basic transaction accounts, often facilitated by industry bodies. We have analysed three examples </w:t>
      </w:r>
      <w:r w:rsidR="00020783">
        <w:t xml:space="preserve">where industry led approaches have been taken </w:t>
      </w:r>
      <w:r w:rsidR="00933339">
        <w:t>to improve access to basic transaction accounts</w:t>
      </w:r>
      <w:r w:rsidR="001560E5">
        <w:t xml:space="preserve"> as outlined below in </w:t>
      </w:r>
      <w:r w:rsidR="001560E5" w:rsidRPr="00C251A5">
        <w:rPr>
          <w:b/>
          <w:bCs/>
        </w:rPr>
        <w:t xml:space="preserve">Table </w:t>
      </w:r>
      <w:r w:rsidR="00C251A5" w:rsidRPr="00C251A5">
        <w:rPr>
          <w:b/>
          <w:bCs/>
        </w:rPr>
        <w:t>4</w:t>
      </w:r>
      <w:r w:rsidR="001560E5">
        <w:t>.</w:t>
      </w:r>
    </w:p>
    <w:p w14:paraId="510069D1" w14:textId="02AB398D" w:rsidR="002A1751" w:rsidRDefault="002A1751" w:rsidP="002A1751">
      <w:pPr>
        <w:pStyle w:val="Caption"/>
      </w:pPr>
      <w:bookmarkStart w:id="48" w:name="_Toc195096983"/>
      <w:r>
        <w:lastRenderedPageBreak/>
        <w:t xml:space="preserve">Table </w:t>
      </w:r>
      <w:r w:rsidR="00C251A5">
        <w:t>4</w:t>
      </w:r>
      <w:r>
        <w:t xml:space="preserve">: </w:t>
      </w:r>
      <w:r w:rsidRPr="00306329">
        <w:t>Case studies of industry</w:t>
      </w:r>
      <w:r w:rsidR="00FE12CE">
        <w:t>-</w:t>
      </w:r>
      <w:r w:rsidRPr="00306329">
        <w:t>led approaches to basic transaction accounts</w:t>
      </w:r>
      <w:bookmarkEnd w:id="48"/>
    </w:p>
    <w:tbl>
      <w:tblPr>
        <w:tblStyle w:val="CoFR"/>
        <w:tblW w:w="5000" w:type="pct"/>
        <w:tblLook w:val="04A0" w:firstRow="1" w:lastRow="0" w:firstColumn="1" w:lastColumn="0" w:noHBand="0" w:noVBand="1"/>
      </w:tblPr>
      <w:tblGrid>
        <w:gridCol w:w="1842"/>
        <w:gridCol w:w="3260"/>
        <w:gridCol w:w="1983"/>
        <w:gridCol w:w="1985"/>
      </w:tblGrid>
      <w:tr w:rsidR="00E27C7D" w:rsidRPr="002A1751" w14:paraId="264B2EE0" w14:textId="77777777" w:rsidTr="000D4362">
        <w:trPr>
          <w:cnfStyle w:val="100000000000" w:firstRow="1" w:lastRow="0" w:firstColumn="0" w:lastColumn="0" w:oddVBand="0" w:evenVBand="0" w:oddHBand="0" w:evenHBand="0" w:firstRowFirstColumn="0" w:firstRowLastColumn="0" w:lastRowFirstColumn="0" w:lastRowLastColumn="0"/>
          <w:trHeight w:val="868"/>
        </w:trPr>
        <w:tc>
          <w:tcPr>
            <w:tcW w:w="1016" w:type="pct"/>
          </w:tcPr>
          <w:p w14:paraId="7860A60A" w14:textId="77777777" w:rsidR="00652BBC" w:rsidRPr="002A1751" w:rsidRDefault="00652BBC" w:rsidP="002A1751">
            <w:pPr>
              <w:spacing w:before="144" w:after="144"/>
            </w:pPr>
          </w:p>
        </w:tc>
        <w:tc>
          <w:tcPr>
            <w:tcW w:w="1797" w:type="pct"/>
          </w:tcPr>
          <w:p w14:paraId="2ECEBDA7" w14:textId="17D6E726" w:rsidR="00652BBC" w:rsidRPr="002A1751" w:rsidRDefault="00AC4FA4" w:rsidP="002A1751">
            <w:pPr>
              <w:spacing w:before="144" w:after="144"/>
            </w:pPr>
            <w:r w:rsidRPr="002A1751">
              <w:t xml:space="preserve">Voluntary code </w:t>
            </w:r>
          </w:p>
        </w:tc>
        <w:tc>
          <w:tcPr>
            <w:tcW w:w="1093" w:type="pct"/>
          </w:tcPr>
          <w:p w14:paraId="4C4E786C" w14:textId="46A0FBA1" w:rsidR="00652BBC" w:rsidRPr="002A1751" w:rsidRDefault="00652BBC" w:rsidP="002A1751">
            <w:pPr>
              <w:spacing w:before="144" w:after="144"/>
              <w:jc w:val="right"/>
            </w:pPr>
            <w:r w:rsidRPr="002A1751">
              <w:t>Unbanked population</w:t>
            </w:r>
            <w:r w:rsidR="007E1C6F" w:rsidRPr="002A1751">
              <w:rPr>
                <w:vertAlign w:val="superscript"/>
              </w:rPr>
              <w:footnoteReference w:id="69"/>
            </w:r>
          </w:p>
        </w:tc>
        <w:tc>
          <w:tcPr>
            <w:tcW w:w="1094" w:type="pct"/>
          </w:tcPr>
          <w:p w14:paraId="796EAF62" w14:textId="77777777" w:rsidR="00652BBC" w:rsidRPr="002A1751" w:rsidRDefault="00652BBC" w:rsidP="002A1751">
            <w:pPr>
              <w:spacing w:before="144" w:after="144"/>
              <w:jc w:val="right"/>
            </w:pPr>
            <w:r w:rsidRPr="002A1751">
              <w:t>Year introduced</w:t>
            </w:r>
          </w:p>
        </w:tc>
      </w:tr>
      <w:tr w:rsidR="00E27C7D" w:rsidRPr="002A1751" w14:paraId="56BC8C2B" w14:textId="77777777" w:rsidTr="000D4362">
        <w:trPr>
          <w:cnfStyle w:val="000000100000" w:firstRow="0" w:lastRow="0" w:firstColumn="0" w:lastColumn="0" w:oddVBand="0" w:evenVBand="0" w:oddHBand="1" w:evenHBand="0" w:firstRowFirstColumn="0" w:firstRowLastColumn="0" w:lastRowFirstColumn="0" w:lastRowLastColumn="0"/>
          <w:trHeight w:val="321"/>
        </w:trPr>
        <w:tc>
          <w:tcPr>
            <w:tcW w:w="1016" w:type="pct"/>
          </w:tcPr>
          <w:p w14:paraId="5150882F" w14:textId="4ADE3076" w:rsidR="00652BBC" w:rsidRPr="002A1751" w:rsidRDefault="00117D58" w:rsidP="002A1751">
            <w:pPr>
              <w:spacing w:before="144" w:after="144"/>
            </w:pPr>
            <w:r w:rsidRPr="002A1751">
              <w:t xml:space="preserve">Australia </w:t>
            </w:r>
          </w:p>
        </w:tc>
        <w:tc>
          <w:tcPr>
            <w:tcW w:w="1797" w:type="pct"/>
          </w:tcPr>
          <w:p w14:paraId="19854CEA" w14:textId="29D696CF" w:rsidR="00652BBC" w:rsidRPr="002A1751" w:rsidRDefault="00F10A2A" w:rsidP="002A1751">
            <w:pPr>
              <w:spacing w:before="144" w:after="144"/>
            </w:pPr>
            <w:r w:rsidRPr="002A1751">
              <w:t xml:space="preserve">Banking Code of Practice </w:t>
            </w:r>
          </w:p>
        </w:tc>
        <w:tc>
          <w:tcPr>
            <w:tcW w:w="1093" w:type="pct"/>
          </w:tcPr>
          <w:p w14:paraId="29E47EAE" w14:textId="05880AD4" w:rsidR="00652BBC" w:rsidRPr="002A1751" w:rsidRDefault="0008574D" w:rsidP="002A1751">
            <w:pPr>
              <w:spacing w:before="144" w:after="144"/>
              <w:jc w:val="right"/>
            </w:pPr>
            <w:r>
              <w:t>0.7</w:t>
            </w:r>
            <w:r w:rsidR="005B4DC8" w:rsidRPr="002A1751">
              <w:t>%</w:t>
            </w:r>
          </w:p>
        </w:tc>
        <w:tc>
          <w:tcPr>
            <w:tcW w:w="1094" w:type="pct"/>
          </w:tcPr>
          <w:p w14:paraId="3DDCB29A" w14:textId="2A511218" w:rsidR="00652BBC" w:rsidRPr="002A1751" w:rsidRDefault="001175A3" w:rsidP="002A1751">
            <w:pPr>
              <w:spacing w:before="144" w:after="144"/>
              <w:jc w:val="right"/>
            </w:pPr>
            <w:r w:rsidRPr="002A1751">
              <w:t>1993</w:t>
            </w:r>
          </w:p>
        </w:tc>
      </w:tr>
      <w:tr w:rsidR="00905290" w:rsidRPr="002A1751" w14:paraId="29777F0D" w14:textId="77777777" w:rsidTr="000D4362">
        <w:trPr>
          <w:cnfStyle w:val="000000010000" w:firstRow="0" w:lastRow="0" w:firstColumn="0" w:lastColumn="0" w:oddVBand="0" w:evenVBand="0" w:oddHBand="0" w:evenHBand="1" w:firstRowFirstColumn="0" w:firstRowLastColumn="0" w:lastRowFirstColumn="0" w:lastRowLastColumn="0"/>
          <w:trHeight w:val="417"/>
        </w:trPr>
        <w:tc>
          <w:tcPr>
            <w:tcW w:w="1016" w:type="pct"/>
          </w:tcPr>
          <w:p w14:paraId="303214CA" w14:textId="0BA3173C" w:rsidR="00652BBC" w:rsidRPr="002A1751" w:rsidRDefault="00652BBC" w:rsidP="002A1751">
            <w:pPr>
              <w:spacing w:before="144" w:after="144"/>
            </w:pPr>
            <w:r w:rsidRPr="002A1751">
              <w:t>UK</w:t>
            </w:r>
            <w:r w:rsidR="00F10A2A" w:rsidRPr="002A1751">
              <w:t xml:space="preserve"> (</w:t>
            </w:r>
            <w:r w:rsidR="00EA2BEA" w:rsidRPr="002A1751">
              <w:t>pre-2015</w:t>
            </w:r>
            <w:r w:rsidR="00F10A2A" w:rsidRPr="002A1751">
              <w:t>)</w:t>
            </w:r>
          </w:p>
        </w:tc>
        <w:tc>
          <w:tcPr>
            <w:tcW w:w="1797" w:type="pct"/>
          </w:tcPr>
          <w:p w14:paraId="0C546181" w14:textId="451B8A14" w:rsidR="00652BBC" w:rsidRPr="002A1751" w:rsidRDefault="001175A3" w:rsidP="002A1751">
            <w:pPr>
              <w:spacing w:before="144" w:after="144"/>
            </w:pPr>
            <w:r w:rsidRPr="002A1751">
              <w:t xml:space="preserve">Revised Basic Bank Account Agreement </w:t>
            </w:r>
          </w:p>
        </w:tc>
        <w:tc>
          <w:tcPr>
            <w:tcW w:w="1093" w:type="pct"/>
          </w:tcPr>
          <w:p w14:paraId="1C2D365B" w14:textId="77C3DF07" w:rsidR="00652BBC" w:rsidRPr="002A1751" w:rsidRDefault="00091F57" w:rsidP="002A1751">
            <w:pPr>
              <w:spacing w:before="144" w:after="144"/>
              <w:jc w:val="right"/>
            </w:pPr>
            <w:r w:rsidRPr="002A1751">
              <w:t>0</w:t>
            </w:r>
            <w:r w:rsidR="00105313">
              <w:t>.2</w:t>
            </w:r>
            <w:r w:rsidR="00905290" w:rsidRPr="002A1751">
              <w:t>%</w:t>
            </w:r>
          </w:p>
        </w:tc>
        <w:tc>
          <w:tcPr>
            <w:tcW w:w="1094" w:type="pct"/>
          </w:tcPr>
          <w:p w14:paraId="0D8B0625" w14:textId="4C0CF1E2" w:rsidR="00652BBC" w:rsidRPr="002A1751" w:rsidRDefault="001175A3" w:rsidP="002A1751">
            <w:pPr>
              <w:spacing w:before="144" w:after="144"/>
              <w:jc w:val="right"/>
            </w:pPr>
            <w:r w:rsidRPr="002A1751">
              <w:t>2014</w:t>
            </w:r>
            <w:r w:rsidRPr="002D5B1E">
              <w:rPr>
                <w:vertAlign w:val="superscript"/>
              </w:rPr>
              <w:footnoteReference w:id="70"/>
            </w:r>
          </w:p>
        </w:tc>
      </w:tr>
      <w:tr w:rsidR="00905290" w:rsidRPr="002A1751" w14:paraId="09EB3356" w14:textId="77777777" w:rsidTr="000D4362">
        <w:trPr>
          <w:cnfStyle w:val="000000100000" w:firstRow="0" w:lastRow="0" w:firstColumn="0" w:lastColumn="0" w:oddVBand="0" w:evenVBand="0" w:oddHBand="1" w:evenHBand="0" w:firstRowFirstColumn="0" w:firstRowLastColumn="0" w:lastRowFirstColumn="0" w:lastRowLastColumn="0"/>
          <w:trHeight w:val="417"/>
        </w:trPr>
        <w:tc>
          <w:tcPr>
            <w:tcW w:w="1016" w:type="pct"/>
          </w:tcPr>
          <w:p w14:paraId="23CB154E" w14:textId="53077A1C" w:rsidR="00905290" w:rsidRPr="002A1751" w:rsidRDefault="00905290" w:rsidP="002A1751">
            <w:pPr>
              <w:spacing w:before="144" w:after="144"/>
            </w:pPr>
            <w:r w:rsidRPr="002A1751">
              <w:t>South Africa</w:t>
            </w:r>
          </w:p>
        </w:tc>
        <w:tc>
          <w:tcPr>
            <w:tcW w:w="1797" w:type="pct"/>
          </w:tcPr>
          <w:p w14:paraId="40FD1C57" w14:textId="60E472FD" w:rsidR="00905290" w:rsidRPr="002A1751" w:rsidRDefault="00905290" w:rsidP="002A1751">
            <w:pPr>
              <w:spacing w:before="144" w:after="144"/>
            </w:pPr>
            <w:r w:rsidRPr="002A1751">
              <w:t>Financial Sector Charter</w:t>
            </w:r>
          </w:p>
        </w:tc>
        <w:tc>
          <w:tcPr>
            <w:tcW w:w="1093" w:type="pct"/>
          </w:tcPr>
          <w:p w14:paraId="493508A0" w14:textId="1692192E" w:rsidR="00905290" w:rsidRPr="002A1751" w:rsidRDefault="002D5B1E" w:rsidP="002A1751">
            <w:pPr>
              <w:spacing w:before="144" w:after="144"/>
              <w:jc w:val="right"/>
            </w:pPr>
            <w:r>
              <w:t>14.6</w:t>
            </w:r>
            <w:r w:rsidR="00622314" w:rsidRPr="002A1751">
              <w:t>%</w:t>
            </w:r>
          </w:p>
        </w:tc>
        <w:tc>
          <w:tcPr>
            <w:tcW w:w="1094" w:type="pct"/>
          </w:tcPr>
          <w:p w14:paraId="1298C5DC" w14:textId="19170DE8" w:rsidR="00905290" w:rsidRPr="002A1751" w:rsidRDefault="00905290" w:rsidP="002A1751">
            <w:pPr>
              <w:spacing w:before="144" w:after="144"/>
              <w:jc w:val="right"/>
            </w:pPr>
            <w:r w:rsidRPr="002A1751">
              <w:t>2004</w:t>
            </w:r>
            <w:r w:rsidR="00871A5B" w:rsidRPr="002D5B1E">
              <w:rPr>
                <w:vertAlign w:val="superscript"/>
              </w:rPr>
              <w:footnoteReference w:id="71"/>
            </w:r>
          </w:p>
        </w:tc>
      </w:tr>
    </w:tbl>
    <w:p w14:paraId="6EAFDA21" w14:textId="77777777" w:rsidR="00652BBC" w:rsidRDefault="00652BBC" w:rsidP="002A1751">
      <w:pPr>
        <w:pStyle w:val="InbetweenTableSpacing"/>
      </w:pPr>
    </w:p>
    <w:p w14:paraId="34585FA3" w14:textId="02D14E5E" w:rsidR="00BE19CA" w:rsidRDefault="00BE19CA" w:rsidP="002A1751">
      <w:r w:rsidRPr="00AE05EF">
        <w:t xml:space="preserve">In Australia, industry collaboration on basic transaction accounts required the Australian Competition and Consumer Commission (ACCC) authorisation </w:t>
      </w:r>
      <w:r w:rsidR="005D5F16">
        <w:t xml:space="preserve">for </w:t>
      </w:r>
      <w:r w:rsidRPr="00AE05EF">
        <w:t>the</w:t>
      </w:r>
      <w:r w:rsidRPr="005D38AA">
        <w:t xml:space="preserve"> 2019 Banking Code</w:t>
      </w:r>
      <w:r w:rsidR="005D5F16">
        <w:t xml:space="preserve"> to set</w:t>
      </w:r>
      <w:r w:rsidRPr="005D38AA">
        <w:t xml:space="preserve"> minimum requirements </w:t>
      </w:r>
      <w:r w:rsidR="006625F2">
        <w:t>for</w:t>
      </w:r>
      <w:r>
        <w:t xml:space="preserve"> low-income customers.</w:t>
      </w:r>
      <w:r>
        <w:rPr>
          <w:rStyle w:val="FootnoteReference"/>
        </w:rPr>
        <w:footnoteReference w:id="72"/>
      </w:r>
      <w:r>
        <w:t xml:space="preserve"> </w:t>
      </w:r>
      <w:r w:rsidR="006625F2">
        <w:t>The</w:t>
      </w:r>
      <w:r w:rsidR="00354D18">
        <w:t xml:space="preserve"> </w:t>
      </w:r>
      <w:r>
        <w:t xml:space="preserve">UK </w:t>
      </w:r>
      <w:r w:rsidR="006625F2">
        <w:t xml:space="preserve">initially used </w:t>
      </w:r>
      <w:r w:rsidR="00B71908">
        <w:t>a</w:t>
      </w:r>
      <w:r>
        <w:t xml:space="preserve"> voluntary agreement </w:t>
      </w:r>
      <w:r w:rsidR="00B71908">
        <w:t>before formalising it under the 2015</w:t>
      </w:r>
      <w:r>
        <w:t xml:space="preserve"> Payment Accounts Regulations.</w:t>
      </w:r>
      <w:r>
        <w:rPr>
          <w:rStyle w:val="FootnoteReference"/>
        </w:rPr>
        <w:footnoteReference w:id="73"/>
      </w:r>
      <w:r>
        <w:t xml:space="preserve"> </w:t>
      </w:r>
      <w:r w:rsidR="00DC3280">
        <w:t xml:space="preserve">In South Africa, </w:t>
      </w:r>
      <w:r w:rsidR="0098374B">
        <w:t xml:space="preserve">major banks launched </w:t>
      </w:r>
      <w:r w:rsidR="00354D18">
        <w:t>t</w:t>
      </w:r>
      <w:r w:rsidR="00354D18" w:rsidRPr="00354D18">
        <w:t xml:space="preserve">he Mzansi </w:t>
      </w:r>
      <w:r w:rsidR="0098374B">
        <w:t>accounts</w:t>
      </w:r>
      <w:r w:rsidR="00354D18" w:rsidRPr="00354D18">
        <w:t xml:space="preserve"> in 2004 </w:t>
      </w:r>
      <w:r w:rsidR="0098374B">
        <w:t>under the</w:t>
      </w:r>
      <w:r w:rsidR="00354D18" w:rsidRPr="00354D18">
        <w:t xml:space="preserve"> Financial Sector </w:t>
      </w:r>
      <w:r w:rsidR="00354D18" w:rsidRPr="00AE45C2">
        <w:t>Charter to provide basic, low-cost banking services to previously unbanked populations.</w:t>
      </w:r>
      <w:r w:rsidR="0036660D" w:rsidRPr="00AE45C2">
        <w:rPr>
          <w:rStyle w:val="FootnoteReference"/>
        </w:rPr>
        <w:footnoteReference w:id="74"/>
      </w:r>
      <w:r w:rsidR="00DC3280" w:rsidRPr="00AE45C2">
        <w:t xml:space="preserve"> </w:t>
      </w:r>
      <w:r w:rsidR="000F09ED" w:rsidRPr="000F09ED">
        <w:rPr>
          <w:b/>
          <w:bCs/>
        </w:rPr>
        <w:t>Appendix One</w:t>
      </w:r>
      <w:r w:rsidR="000F09ED" w:rsidRPr="000F09ED">
        <w:t xml:space="preserve"> </w:t>
      </w:r>
      <w:r w:rsidR="000F09ED">
        <w:t>provides descriptive information</w:t>
      </w:r>
      <w:r w:rsidR="000F09ED" w:rsidRPr="000F09ED">
        <w:t xml:space="preserve"> on the approaches taken to implement basic transaction accounts in these case studies</w:t>
      </w:r>
      <w:r w:rsidR="000F09ED">
        <w:t xml:space="preserve">. </w:t>
      </w:r>
    </w:p>
    <w:p w14:paraId="4E9E24FF" w14:textId="66CD70A9" w:rsidR="00DD4224" w:rsidRDefault="19380550" w:rsidP="00954C8C">
      <w:pPr>
        <w:spacing w:after="120"/>
      </w:pPr>
      <w:r w:rsidRPr="00100CA3">
        <w:t xml:space="preserve">A key challenge in industry-led approaches to basic transaction accounts </w:t>
      </w:r>
      <w:r w:rsidR="000F09ED">
        <w:t>are</w:t>
      </w:r>
      <w:r w:rsidRPr="00100CA3">
        <w:t xml:space="preserve"> inconsistenc</w:t>
      </w:r>
      <w:r w:rsidR="000F09ED">
        <w:t>ies in how providers</w:t>
      </w:r>
      <w:r w:rsidRPr="00100CA3">
        <w:t xml:space="preserve"> in offering </w:t>
      </w:r>
      <w:r w:rsidR="000F09ED">
        <w:t xml:space="preserve">basic bank accounts </w:t>
      </w:r>
      <w:r w:rsidRPr="00100CA3">
        <w:t xml:space="preserve">to eligible customers and </w:t>
      </w:r>
      <w:r w:rsidR="000F09ED">
        <w:t xml:space="preserve">the extent to which they </w:t>
      </w:r>
      <w:r w:rsidRPr="00100CA3">
        <w:t>rais</w:t>
      </w:r>
      <w:r w:rsidR="000F09ED">
        <w:t>e</w:t>
      </w:r>
      <w:r w:rsidRPr="00100CA3">
        <w:t xml:space="preserve"> awareness about their availability</w:t>
      </w:r>
      <w:r w:rsidR="1DCDEAD4">
        <w:t>.</w:t>
      </w:r>
      <w:r w:rsidR="00D12844">
        <w:rPr>
          <w:rStyle w:val="FootnoteReference"/>
        </w:rPr>
        <w:footnoteReference w:id="75"/>
      </w:r>
      <w:r w:rsidR="71360376">
        <w:t xml:space="preserve"> </w:t>
      </w:r>
      <w:r w:rsidR="1CF55C51">
        <w:t xml:space="preserve">Under </w:t>
      </w:r>
      <w:r w:rsidR="000F09ED">
        <w:t xml:space="preserve">an industry-led </w:t>
      </w:r>
      <w:r w:rsidR="1CF55C51">
        <w:t>approach, some financial providers</w:t>
      </w:r>
      <w:r w:rsidR="17DA37F3">
        <w:t xml:space="preserve"> </w:t>
      </w:r>
      <w:r w:rsidR="7E28074F">
        <w:t>put in place</w:t>
      </w:r>
      <w:r w:rsidR="1CF55C51">
        <w:t xml:space="preserve"> </w:t>
      </w:r>
      <w:r w:rsidR="0FCCA2D4">
        <w:t>eligib</w:t>
      </w:r>
      <w:r w:rsidR="1A35F019">
        <w:t xml:space="preserve">ility requirements </w:t>
      </w:r>
      <w:r w:rsidR="17DA37F3">
        <w:t>for</w:t>
      </w:r>
      <w:r w:rsidR="1A35F019">
        <w:t xml:space="preserve"> basic transaction accounts</w:t>
      </w:r>
      <w:r w:rsidR="71360376">
        <w:t xml:space="preserve">, </w:t>
      </w:r>
      <w:r w:rsidR="17DA37F3">
        <w:t>with varying</w:t>
      </w:r>
      <w:r w:rsidR="1A35F019">
        <w:t xml:space="preserve"> controls and features.</w:t>
      </w:r>
      <w:r w:rsidR="00F023E1">
        <w:rPr>
          <w:rStyle w:val="FootnoteReference"/>
        </w:rPr>
        <w:footnoteReference w:id="76"/>
      </w:r>
      <w:r w:rsidR="1A35F019">
        <w:t xml:space="preserve"> </w:t>
      </w:r>
      <w:r w:rsidR="7E28074F">
        <w:t>Our analysis suggest</w:t>
      </w:r>
      <w:r w:rsidR="3B30A4BF">
        <w:t>s</w:t>
      </w:r>
      <w:r w:rsidR="7E28074F">
        <w:t xml:space="preserve"> that i</w:t>
      </w:r>
      <w:r w:rsidR="42FC26BD">
        <w:t>ndustry</w:t>
      </w:r>
      <w:r w:rsidR="1E03A3F6">
        <w:t>-</w:t>
      </w:r>
      <w:r w:rsidR="42FC26BD">
        <w:t xml:space="preserve">led approaches </w:t>
      </w:r>
      <w:r w:rsidR="7E28074F">
        <w:t>can</w:t>
      </w:r>
      <w:r w:rsidR="04719F86">
        <w:t xml:space="preserve"> </w:t>
      </w:r>
      <w:r w:rsidR="42FC26BD">
        <w:t xml:space="preserve">rely </w:t>
      </w:r>
      <w:r w:rsidR="04719F86">
        <w:t>on the goodwill, reputational benefits and self</w:t>
      </w:r>
      <w:r w:rsidR="52A9230B">
        <w:t>-discipline (for example,</w:t>
      </w:r>
      <w:r w:rsidR="20F3A8FD">
        <w:t xml:space="preserve"> being made more</w:t>
      </w:r>
      <w:r w:rsidR="52A9230B">
        <w:t xml:space="preserve"> </w:t>
      </w:r>
      <w:r w:rsidR="4ED5BF9F">
        <w:t xml:space="preserve">accountable </w:t>
      </w:r>
      <w:r w:rsidR="20F3A8FD">
        <w:t>for outcomes</w:t>
      </w:r>
      <w:r w:rsidR="52A9230B">
        <w:t xml:space="preserve"> through</w:t>
      </w:r>
      <w:r w:rsidR="6DD1B0B0">
        <w:t xml:space="preserve"> public disclosures</w:t>
      </w:r>
      <w:r w:rsidR="52A9230B">
        <w:t xml:space="preserve">) rather than having formal requirements or enforcement measures. </w:t>
      </w:r>
    </w:p>
    <w:p w14:paraId="741879E1" w14:textId="7244EB71" w:rsidR="00354D18" w:rsidRDefault="08711BAF" w:rsidP="00954C8C">
      <w:r>
        <w:t xml:space="preserve">Despite </w:t>
      </w:r>
      <w:r w:rsidR="000F09ED">
        <w:t>these</w:t>
      </w:r>
      <w:r>
        <w:t xml:space="preserve"> limitations, an industry-led approach can enhance financial inclusion. For example, South Africa’s Mzansi accounts helped increase banked adults from 46% in 2004 to 63% by 2008 and 85.4% by 2021. However, Australia's Royal Commission found that industry efforts fell short of community standards and intended outcomes. Overall, </w:t>
      </w:r>
      <w:r w:rsidR="000F09ED">
        <w:t xml:space="preserve">our results suggest that the </w:t>
      </w:r>
      <w:r>
        <w:t xml:space="preserve">effectiveness </w:t>
      </w:r>
      <w:r w:rsidR="000F09ED">
        <w:t xml:space="preserve">of industry-led approaches to implement basic transaction accounts can </w:t>
      </w:r>
      <w:r>
        <w:t>var</w:t>
      </w:r>
      <w:r w:rsidR="000F09ED">
        <w:t>y</w:t>
      </w:r>
      <w:r>
        <w:t xml:space="preserve"> </w:t>
      </w:r>
      <w:r w:rsidR="000F09ED">
        <w:t xml:space="preserve">depending </w:t>
      </w:r>
      <w:r>
        <w:t>on institution</w:t>
      </w:r>
      <w:r w:rsidR="000F09ED">
        <w:t>al</w:t>
      </w:r>
      <w:r>
        <w:t xml:space="preserve"> commitment</w:t>
      </w:r>
      <w:r w:rsidR="000F09ED">
        <w:t xml:space="preserve"> and co-ordination</w:t>
      </w:r>
      <w:r>
        <w:t>,</w:t>
      </w:r>
      <w:r w:rsidR="000F09ED">
        <w:t xml:space="preserve"> efforts to raise</w:t>
      </w:r>
      <w:r>
        <w:t xml:space="preserve"> awareness</w:t>
      </w:r>
      <w:r w:rsidR="000F09ED">
        <w:t xml:space="preserve"> among consumers</w:t>
      </w:r>
      <w:r>
        <w:t>, and staff training.</w:t>
      </w:r>
    </w:p>
    <w:tbl>
      <w:tblPr>
        <w:tblStyle w:val="CaseStudy"/>
        <w:tblW w:w="5217" w:type="pct"/>
        <w:tblLook w:val="0600" w:firstRow="0" w:lastRow="0" w:firstColumn="0" w:lastColumn="0" w:noHBand="1" w:noVBand="1"/>
      </w:tblPr>
      <w:tblGrid>
        <w:gridCol w:w="9464"/>
      </w:tblGrid>
      <w:tr w:rsidR="002A1751" w14:paraId="1C2DC97F" w14:textId="77777777" w:rsidTr="00616618">
        <w:trPr>
          <w:trHeight w:val="11656"/>
        </w:trPr>
        <w:tc>
          <w:tcPr>
            <w:tcW w:w="5000" w:type="pct"/>
          </w:tcPr>
          <w:p w14:paraId="542B474C" w14:textId="77777777" w:rsidR="002A1751" w:rsidRPr="008D280B" w:rsidRDefault="002A1751" w:rsidP="00FB2AD0">
            <w:pPr>
              <w:pStyle w:val="HighlightSectionCaseStudyHeading"/>
            </w:pPr>
            <w:r w:rsidRPr="008D280B">
              <w:lastRenderedPageBreak/>
              <w:t xml:space="preserve">Case Study: Australia’s Banking Code of Practice </w:t>
            </w:r>
          </w:p>
          <w:p w14:paraId="1B5B133E" w14:textId="78225EB9" w:rsidR="002A1751" w:rsidRDefault="002A1751" w:rsidP="002A1751">
            <w:pPr>
              <w:spacing w:after="240"/>
            </w:pPr>
            <w:r w:rsidRPr="00D13D1C">
              <w:t xml:space="preserve">The Banking Code of Practice </w:t>
            </w:r>
            <w:r>
              <w:t xml:space="preserve">(The Banking Code) </w:t>
            </w:r>
            <w:r w:rsidRPr="00D13D1C">
              <w:t xml:space="preserve">is a voluntary code of conduct that sets standards for good banking practice in Australia. </w:t>
            </w:r>
            <w:r>
              <w:t>The Banking Code</w:t>
            </w:r>
            <w:r w:rsidRPr="00D13D1C">
              <w:t xml:space="preserve"> was first introduced in 1993 and has undergone several revisions to keep pace with changes in the banking industry and consumer expectations</w:t>
            </w:r>
            <w:r w:rsidRPr="007566DE">
              <w:t xml:space="preserve">. </w:t>
            </w:r>
            <w:r>
              <w:t>The Banking Code</w:t>
            </w:r>
            <w:r w:rsidRPr="00D13D1C">
              <w:t xml:space="preserve"> sets out the standards of good banking practice that member banks of the Australian Banking Association commit to uphold in their dealings with customers.</w:t>
            </w:r>
            <w:r>
              <w:t xml:space="preserve"> </w:t>
            </w:r>
          </w:p>
          <w:p w14:paraId="44B47545" w14:textId="06718BBC" w:rsidR="002A1751" w:rsidRDefault="002A1751" w:rsidP="002A1751">
            <w:pPr>
              <w:spacing w:after="240"/>
            </w:pPr>
            <w:r w:rsidRPr="00D13D1C">
              <w:t>One of the key provisions of the Banking Code of Practice relates to basic bank accounts.</w:t>
            </w:r>
            <w:r>
              <w:t xml:space="preserve"> </w:t>
            </w:r>
            <w:r w:rsidRPr="00D13D1C">
              <w:t>Recogni</w:t>
            </w:r>
            <w:r>
              <w:t>s</w:t>
            </w:r>
            <w:r w:rsidRPr="00D13D1C">
              <w:t xml:space="preserve">ing the essential nature of banking services in modern society, the Code requires member banks to offer low or no-fee </w:t>
            </w:r>
            <w:r w:rsidR="003E03FA">
              <w:t xml:space="preserve">basic bank </w:t>
            </w:r>
            <w:r w:rsidRPr="00D13D1C">
              <w:t xml:space="preserve">accounts to eligible customers. These accounts are typically designed for low-income individuals, such as those receiving government benefits or holding concession cards. </w:t>
            </w:r>
          </w:p>
          <w:p w14:paraId="19F3A66D" w14:textId="6552FB7C" w:rsidR="002A1751" w:rsidRDefault="000F6965" w:rsidP="000F6965">
            <w:pPr>
              <w:spacing w:after="240"/>
            </w:pPr>
            <w:r>
              <w:t>S</w:t>
            </w:r>
            <w:r w:rsidR="002A1751">
              <w:t xml:space="preserve">everal limitations </w:t>
            </w:r>
            <w:r>
              <w:t xml:space="preserve">were identified </w:t>
            </w:r>
            <w:r w:rsidR="002A1751">
              <w:t>to implementing basic bank accounts effectively under the Banking Code. These include</w:t>
            </w:r>
            <w:r>
              <w:t>d</w:t>
            </w:r>
            <w:r w:rsidR="002A1751">
              <w:rPr>
                <w:rStyle w:val="FootnoteReference"/>
              </w:rPr>
              <w:footnoteReference w:id="77"/>
            </w:r>
            <w:r w:rsidR="002A1751">
              <w:t>:</w:t>
            </w:r>
          </w:p>
          <w:p w14:paraId="33445B0C" w14:textId="22F15966" w:rsidR="002A1751" w:rsidRDefault="002A1751" w:rsidP="00FB2AD0">
            <w:pPr>
              <w:pStyle w:val="ListBullet"/>
            </w:pPr>
            <w:r w:rsidRPr="000D4362">
              <w:rPr>
                <w:rStyle w:val="Emphasis"/>
              </w:rPr>
              <w:t>Awareness and migrations:</w:t>
            </w:r>
            <w:r>
              <w:t xml:space="preserve"> Banks have not been consistent in proactively identifying customers who might be eligible for basic, low or no-fee accounts. This has resulted in </w:t>
            </w:r>
            <w:r w:rsidR="00C523BE">
              <w:t>over 150,000</w:t>
            </w:r>
            <w:r>
              <w:t xml:space="preserve"> low-income customers remaining in high-fee accounts despite being eligible for </w:t>
            </w:r>
            <w:r w:rsidR="00720717">
              <w:t>low-fee accounts</w:t>
            </w:r>
            <w:r>
              <w:t xml:space="preserve">. Some participating banks have low success rates in migrating eligible customers to </w:t>
            </w:r>
            <w:r w:rsidR="00492C73">
              <w:t>low-fee</w:t>
            </w:r>
            <w:r>
              <w:t xml:space="preserve"> accounts. </w:t>
            </w:r>
            <w:r w:rsidR="00492C73" w:rsidRPr="00492C73">
              <w:t>Successful migration rates were as low as 0.5%</w:t>
            </w:r>
            <w:r w:rsidR="00492C73">
              <w:t>.</w:t>
            </w:r>
          </w:p>
          <w:p w14:paraId="60659EB8" w14:textId="77777777" w:rsidR="002A1751" w:rsidRDefault="002A1751" w:rsidP="00FB2AD0">
            <w:pPr>
              <w:pStyle w:val="ListBullet"/>
            </w:pPr>
            <w:r w:rsidRPr="000D4362">
              <w:rPr>
                <w:rStyle w:val="Emphasis"/>
              </w:rPr>
              <w:t>Eligibility:</w:t>
            </w:r>
            <w:r>
              <w:t xml:space="preserve"> Most participating banks have required customers to provide proof of a concession card</w:t>
            </w:r>
            <w:r>
              <w:rPr>
                <w:rStyle w:val="FootnoteReference"/>
              </w:rPr>
              <w:footnoteReference w:id="78"/>
            </w:r>
            <w:r>
              <w:t xml:space="preserve"> to access low-fee accounts. This can create an additional barrier for customers to prove their eligibility and access a basic bank account.</w:t>
            </w:r>
          </w:p>
          <w:p w14:paraId="3586DDFF" w14:textId="77777777" w:rsidR="002A1751" w:rsidRDefault="002A1751" w:rsidP="00FB2AD0">
            <w:pPr>
              <w:pStyle w:val="ListBullet"/>
            </w:pPr>
            <w:r w:rsidRPr="000D4362">
              <w:rPr>
                <w:rStyle w:val="Emphasis"/>
              </w:rPr>
              <w:t>Features:</w:t>
            </w:r>
            <w:r>
              <w:t xml:space="preserve"> There has been variation in the ability of participating banks to implement the minimum features for basic transaction accounts. For example, some low-income customers have been charged fees for overdrafts and dishonoured payments (in conflict with the definition of a basic transaction account under the Banking Code).</w:t>
            </w:r>
          </w:p>
          <w:p w14:paraId="6B7254D8" w14:textId="651E7013" w:rsidR="002A1751" w:rsidRDefault="002A1751" w:rsidP="00FB2AD0">
            <w:pPr>
              <w:spacing w:after="0"/>
            </w:pPr>
            <w:r>
              <w:t xml:space="preserve">These limitations </w:t>
            </w:r>
            <w:r w:rsidR="001F50E3">
              <w:t>were</w:t>
            </w:r>
            <w:r>
              <w:t xml:space="preserve"> part of </w:t>
            </w:r>
            <w:r w:rsidR="001F50E3">
              <w:t>the</w:t>
            </w:r>
            <w:r>
              <w:t xml:space="preserve"> review of the Banking Code in 2024, and efforts </w:t>
            </w:r>
            <w:r w:rsidR="0024051F">
              <w:t>were</w:t>
            </w:r>
            <w:r>
              <w:t xml:space="preserve"> made to make improvements to support access to basic bank accounts in the revised Banking Code of Practice </w:t>
            </w:r>
            <w:r w:rsidR="00311F7C">
              <w:t>which came into</w:t>
            </w:r>
            <w:r>
              <w:t xml:space="preserve"> effect in February 2025.</w:t>
            </w:r>
            <w:r>
              <w:rPr>
                <w:rStyle w:val="FootnoteReference"/>
              </w:rPr>
              <w:footnoteReference w:id="79"/>
            </w:r>
            <w:r>
              <w:t xml:space="preserve"> The new Code </w:t>
            </w:r>
            <w:r w:rsidR="00A035F9">
              <w:t>includes</w:t>
            </w:r>
            <w:r>
              <w:t xml:space="preserve"> expanded protections, clearer definitions, and enhanced provisions for vulnerable customers.</w:t>
            </w:r>
            <w:r>
              <w:rPr>
                <w:rStyle w:val="FootnoteReference"/>
              </w:rPr>
              <w:footnoteReference w:id="80"/>
            </w:r>
          </w:p>
        </w:tc>
      </w:tr>
    </w:tbl>
    <w:p w14:paraId="57B30C76" w14:textId="77777777" w:rsidR="00616618" w:rsidRDefault="00616618" w:rsidP="00616618">
      <w:bookmarkStart w:id="49" w:name="_Toc193437692"/>
      <w:bookmarkEnd w:id="33"/>
    </w:p>
    <w:p w14:paraId="11BF5454" w14:textId="7F96CFE9" w:rsidR="00132183" w:rsidRPr="00461316" w:rsidRDefault="00513FEF" w:rsidP="002A1751">
      <w:pPr>
        <w:pStyle w:val="Heading2Numbered"/>
      </w:pPr>
      <w:bookmarkStart w:id="50" w:name="_Toc196208749"/>
      <w:r w:rsidRPr="00461316">
        <w:lastRenderedPageBreak/>
        <w:t xml:space="preserve">Hybrid </w:t>
      </w:r>
      <w:r w:rsidR="00714A51">
        <w:t>a</w:t>
      </w:r>
      <w:r w:rsidR="007A71A7">
        <w:t>pp</w:t>
      </w:r>
      <w:r w:rsidR="00714A51">
        <w:t>roach –</w:t>
      </w:r>
      <w:r w:rsidR="00AA04BB">
        <w:t xml:space="preserve"> </w:t>
      </w:r>
      <w:r w:rsidR="00704BFB">
        <w:t>Collabor</w:t>
      </w:r>
      <w:r w:rsidR="002301B1">
        <w:t>ation</w:t>
      </w:r>
      <w:r w:rsidR="00704BFB">
        <w:t xml:space="preserve"> </w:t>
      </w:r>
      <w:r w:rsidR="002301B1">
        <w:t>to simplify account opening for basic accounts</w:t>
      </w:r>
      <w:bookmarkEnd w:id="49"/>
      <w:bookmarkEnd w:id="50"/>
    </w:p>
    <w:p w14:paraId="6C2B3D09" w14:textId="3D8DD3CD" w:rsidR="00B14EA4" w:rsidRDefault="006F3625" w:rsidP="00954C8C">
      <w:pPr>
        <w:spacing w:after="120"/>
      </w:pPr>
      <w:r>
        <w:t>H</w:t>
      </w:r>
      <w:r w:rsidR="00C7129D" w:rsidRPr="00C7129D">
        <w:t>ybrid approach</w:t>
      </w:r>
      <w:r w:rsidR="00D1357E">
        <w:t>es</w:t>
      </w:r>
      <w:r w:rsidR="00C7129D" w:rsidRPr="00C7129D">
        <w:t xml:space="preserve"> to basic </w:t>
      </w:r>
      <w:r w:rsidR="00C7129D">
        <w:t>transaction</w:t>
      </w:r>
      <w:r w:rsidR="00C7129D" w:rsidRPr="00C7129D">
        <w:t xml:space="preserve"> accounts </w:t>
      </w:r>
      <w:r w:rsidR="00D1357E">
        <w:t>involve</w:t>
      </w:r>
      <w:r w:rsidR="00C7129D" w:rsidRPr="00C7129D">
        <w:t xml:space="preserve"> regulators and financial institutions </w:t>
      </w:r>
      <w:r w:rsidR="007B14AF" w:rsidRPr="007B14AF">
        <w:t xml:space="preserve">collaborating </w:t>
      </w:r>
      <w:r w:rsidR="00C7129D" w:rsidRPr="00C7129D">
        <w:t>to enhance financial inclusion</w:t>
      </w:r>
      <w:r w:rsidR="00C7129D">
        <w:t xml:space="preserve">. </w:t>
      </w:r>
      <w:r w:rsidR="00492431" w:rsidRPr="00492431">
        <w:t>Regulators set criteria and design principles while allowing flexibility based on assessed AML/CFT risks. Simplified Know Your Customer (KYC)</w:t>
      </w:r>
      <w:r w:rsidR="008C1073">
        <w:t xml:space="preserve"> requirements</w:t>
      </w:r>
      <w:r w:rsidR="00492431" w:rsidRPr="00492431">
        <w:t>,</w:t>
      </w:r>
      <w:r w:rsidR="00F701C6">
        <w:t xml:space="preserve"> known as AML/CFT tiering</w:t>
      </w:r>
      <w:r w:rsidR="00492431" w:rsidRPr="00492431">
        <w:t xml:space="preserve">, </w:t>
      </w:r>
      <w:r w:rsidR="00B25352">
        <w:t xml:space="preserve">can </w:t>
      </w:r>
      <w:r w:rsidR="00492431" w:rsidRPr="00492431">
        <w:t xml:space="preserve">help </w:t>
      </w:r>
      <w:r w:rsidR="00B25352">
        <w:t>to</w:t>
      </w:r>
      <w:r w:rsidR="00492431" w:rsidRPr="00492431">
        <w:t xml:space="preserve"> lower transaction </w:t>
      </w:r>
      <w:r w:rsidR="008F3E82" w:rsidRPr="008F3E82">
        <w:t>costs for both customers and providers</w:t>
      </w:r>
      <w:r w:rsidR="00492431" w:rsidRPr="00492431">
        <w:t>, making basic accounts more accessible</w:t>
      </w:r>
      <w:r w:rsidR="008F3E82" w:rsidRPr="008F3E82">
        <w:t>.</w:t>
      </w:r>
      <w:r w:rsidR="005C70A3">
        <w:t xml:space="preserve"> </w:t>
      </w:r>
    </w:p>
    <w:p w14:paraId="03E81383" w14:textId="5AC107C9" w:rsidR="009A7BEC" w:rsidRPr="009A7BEC" w:rsidRDefault="009A7BEC" w:rsidP="002A1751">
      <w:pPr>
        <w:pStyle w:val="Heading3"/>
      </w:pPr>
      <w:r w:rsidRPr="009A7BEC">
        <w:t xml:space="preserve">Tiered KYC rules are part of global efforts to reduce the unintended consequences of AML/CFT rules </w:t>
      </w:r>
      <w:r w:rsidR="003E3F3E">
        <w:t>for financial inclusion</w:t>
      </w:r>
    </w:p>
    <w:p w14:paraId="794130D3" w14:textId="63C5CFD2" w:rsidR="009A7BEC" w:rsidRPr="009A7BEC" w:rsidRDefault="00780CCD" w:rsidP="00954C8C">
      <w:pPr>
        <w:spacing w:after="120"/>
      </w:pPr>
      <w:r>
        <w:t>Global</w:t>
      </w:r>
      <w:r w:rsidR="009A7BEC" w:rsidRPr="009A7BEC">
        <w:t xml:space="preserve"> standard setters </w:t>
      </w:r>
      <w:r w:rsidRPr="00780CCD">
        <w:t>are advancing</w:t>
      </w:r>
      <w:r w:rsidR="009A7BEC" w:rsidRPr="009A7BEC">
        <w:t xml:space="preserve"> a risk-based approach to </w:t>
      </w:r>
      <w:r w:rsidR="00461316">
        <w:t>AML/CFT rules.</w:t>
      </w:r>
      <w:r w:rsidR="009A7BEC" w:rsidRPr="009A7BEC">
        <w:t xml:space="preserve"> </w:t>
      </w:r>
      <w:r>
        <w:t>Organisations like</w:t>
      </w:r>
      <w:r w:rsidR="009A7BEC" w:rsidRPr="009A7BEC">
        <w:t xml:space="preserve"> the Alliance for Financial Inclusion </w:t>
      </w:r>
      <w:r w:rsidR="00D55DB7">
        <w:t>(AFI)</w:t>
      </w:r>
      <w:r w:rsidR="007B608F">
        <w:t>,</w:t>
      </w:r>
      <w:r w:rsidR="009A7BEC" w:rsidRPr="009A7BEC">
        <w:t xml:space="preserve"> the World Bank</w:t>
      </w:r>
      <w:r w:rsidR="007B608F">
        <w:t>,</w:t>
      </w:r>
      <w:r w:rsidR="009A7BEC" w:rsidRPr="009A7BEC">
        <w:t xml:space="preserve"> and Consultative Group to Assist the Poor </w:t>
      </w:r>
      <w:r w:rsidR="0031336F" w:rsidRPr="0031336F">
        <w:t>promote</w:t>
      </w:r>
      <w:r w:rsidR="009A7BEC" w:rsidRPr="009A7BEC">
        <w:t xml:space="preserve"> proportionate</w:t>
      </w:r>
      <w:r w:rsidR="0031336F" w:rsidRPr="0031336F">
        <w:t>,</w:t>
      </w:r>
      <w:r w:rsidR="009A7BEC" w:rsidRPr="009A7BEC">
        <w:t xml:space="preserve"> tiered </w:t>
      </w:r>
      <w:r w:rsidR="0031336F" w:rsidRPr="0031336F">
        <w:t xml:space="preserve">frameworks for </w:t>
      </w:r>
      <w:r w:rsidR="009A7BEC" w:rsidRPr="009A7BEC">
        <w:t xml:space="preserve">flexible account opening </w:t>
      </w:r>
      <w:r w:rsidR="0031336F" w:rsidRPr="0031336F">
        <w:t>in low-risk</w:t>
      </w:r>
      <w:r w:rsidR="009A7BEC" w:rsidRPr="009A7BEC">
        <w:t>, low-</w:t>
      </w:r>
      <w:r w:rsidR="0031336F" w:rsidRPr="0031336F">
        <w:t>value</w:t>
      </w:r>
      <w:r w:rsidR="009A7BEC" w:rsidRPr="009A7BEC">
        <w:t xml:space="preserve"> accounts.</w:t>
      </w:r>
      <w:r w:rsidR="009A7BEC" w:rsidRPr="009A7BEC">
        <w:rPr>
          <w:vertAlign w:val="superscript"/>
        </w:rPr>
        <w:footnoteReference w:id="81"/>
      </w:r>
      <w:r w:rsidR="009A7BEC" w:rsidRPr="009A7BEC">
        <w:rPr>
          <w:rFonts w:ascii="Cambria" w:hAnsi="Cambria" w:cs="Cambria"/>
        </w:rPr>
        <w:t> </w:t>
      </w:r>
      <w:r w:rsidR="009A7BEC" w:rsidRPr="009A7BEC">
        <w:t xml:space="preserve"> </w:t>
      </w:r>
      <w:r w:rsidR="00D55DB7">
        <w:t>The</w:t>
      </w:r>
      <w:r w:rsidR="009A7BEC" w:rsidRPr="009A7BEC">
        <w:t xml:space="preserve"> 2022 </w:t>
      </w:r>
      <w:r w:rsidR="00D55DB7">
        <w:t>AFI</w:t>
      </w:r>
      <w:r w:rsidR="009A7BEC" w:rsidRPr="009A7BEC">
        <w:t xml:space="preserve"> Digital Financial Services State of Practice Report</w:t>
      </w:r>
      <w:r w:rsidR="00AA5A70">
        <w:t xml:space="preserve"> </w:t>
      </w:r>
      <w:r w:rsidR="00115CB9">
        <w:t>found</w:t>
      </w:r>
      <w:r w:rsidR="009A7BEC" w:rsidRPr="009A7BEC">
        <w:t xml:space="preserve"> that 75</w:t>
      </w:r>
      <w:r w:rsidR="00AA5A70">
        <w:t>%</w:t>
      </w:r>
      <w:r w:rsidR="009A7BEC" w:rsidRPr="009A7BEC">
        <w:t xml:space="preserve"> of </w:t>
      </w:r>
      <w:r w:rsidR="00AA5A70">
        <w:t>AFI member countries</w:t>
      </w:r>
      <w:r w:rsidR="00AA5A70" w:rsidRPr="009A7BEC">
        <w:t xml:space="preserve"> </w:t>
      </w:r>
      <w:r w:rsidR="007A3916">
        <w:t>(61/81)</w:t>
      </w:r>
      <w:r w:rsidR="009A7BEC" w:rsidRPr="009A7BEC">
        <w:t xml:space="preserve"> allow simplified/tiered KYC.</w:t>
      </w:r>
      <w:r w:rsidR="001B12F8">
        <w:rPr>
          <w:rStyle w:val="FootnoteReference"/>
        </w:rPr>
        <w:footnoteReference w:id="82"/>
      </w:r>
      <w:r w:rsidR="009A7BEC" w:rsidRPr="009A7BEC">
        <w:rPr>
          <w:rFonts w:ascii="Cambria" w:hAnsi="Cambria" w:cs="Cambria"/>
        </w:rPr>
        <w:t> </w:t>
      </w:r>
      <w:r w:rsidR="009A7BEC" w:rsidRPr="009A7BEC">
        <w:t xml:space="preserve">These approaches </w:t>
      </w:r>
      <w:r w:rsidR="009C37D6">
        <w:t>are</w:t>
      </w:r>
      <w:r w:rsidR="009A7BEC" w:rsidRPr="009A7BEC">
        <w:t xml:space="preserve"> endorsed by the Financial Action Task Force (FATF), the global </w:t>
      </w:r>
      <w:r w:rsidR="009C37D6">
        <w:t>AML/CFT</w:t>
      </w:r>
      <w:r w:rsidR="009A7BEC" w:rsidRPr="009A7BEC">
        <w:t xml:space="preserve"> watchdog.</w:t>
      </w:r>
      <w:r w:rsidR="009A7BEC" w:rsidRPr="009A7BEC">
        <w:rPr>
          <w:vertAlign w:val="superscript"/>
        </w:rPr>
        <w:footnoteReference w:id="83"/>
      </w:r>
      <w:r w:rsidR="009A7BEC" w:rsidRPr="009A7BEC">
        <w:t xml:space="preserve"> </w:t>
      </w:r>
    </w:p>
    <w:p w14:paraId="5AB7001B" w14:textId="00D56A60" w:rsidR="005B1806" w:rsidRDefault="23181822" w:rsidP="00954C8C">
      <w:pPr>
        <w:spacing w:after="120"/>
      </w:pPr>
      <w:r w:rsidRPr="001F524F">
        <w:t xml:space="preserve">The </w:t>
      </w:r>
      <w:r w:rsidR="009A7BEC" w:rsidRPr="009A7BEC">
        <w:t xml:space="preserve">FATF has been </w:t>
      </w:r>
      <w:r w:rsidRPr="001F524F">
        <w:t>working to address</w:t>
      </w:r>
      <w:r w:rsidR="009A7BEC" w:rsidRPr="009A7BEC">
        <w:t xml:space="preserve"> the unintended consequences of its standards </w:t>
      </w:r>
      <w:r w:rsidRPr="001F524F">
        <w:t>while maintaining</w:t>
      </w:r>
      <w:r w:rsidR="009A7BEC" w:rsidRPr="009A7BEC">
        <w:t xml:space="preserve"> the effectiveness of global AML/CFT </w:t>
      </w:r>
      <w:r w:rsidRPr="001F524F">
        <w:t>efforts</w:t>
      </w:r>
      <w:r>
        <w:t>.</w:t>
      </w:r>
      <w:r w:rsidR="009A7BEC" w:rsidRPr="009A7BEC">
        <w:rPr>
          <w:vertAlign w:val="superscript"/>
        </w:rPr>
        <w:footnoteReference w:id="84"/>
      </w:r>
      <w:r w:rsidR="4F549652">
        <w:t xml:space="preserve"> </w:t>
      </w:r>
      <w:r w:rsidR="486FF571">
        <w:t>M</w:t>
      </w:r>
      <w:r w:rsidR="4F549652">
        <w:t>ost recently</w:t>
      </w:r>
      <w:r w:rsidR="486FF571">
        <w:t>,</w:t>
      </w:r>
      <w:r w:rsidR="4F549652">
        <w:t xml:space="preserve"> </w:t>
      </w:r>
      <w:r w:rsidR="486FF571">
        <w:t>it has initiated</w:t>
      </w:r>
      <w:r w:rsidR="36CA732E">
        <w:t xml:space="preserve"> consultations to revise the FATF Recommendations to better align with </w:t>
      </w:r>
      <w:r w:rsidR="009A7BEC" w:rsidRPr="009A7BEC">
        <w:t>measures</w:t>
      </w:r>
      <w:r w:rsidR="36CA732E">
        <w:t xml:space="preserve"> to promote financial inclusion.</w:t>
      </w:r>
      <w:r w:rsidR="0077530B">
        <w:rPr>
          <w:rStyle w:val="FootnoteReference"/>
        </w:rPr>
        <w:footnoteReference w:id="85"/>
      </w:r>
      <w:r w:rsidR="009A7BEC" w:rsidRPr="009A7BEC">
        <w:t xml:space="preserve"> FATF guidelines on tiered KYC are intended to minimise barriers to the use of financial services by underserved communities, allowing for simplified customer due diligence to be used in lower-risk scenarios.</w:t>
      </w:r>
      <w:r w:rsidR="009A7BEC" w:rsidRPr="009A7BEC">
        <w:rPr>
          <w:vertAlign w:val="superscript"/>
        </w:rPr>
        <w:footnoteReference w:id="86"/>
      </w:r>
      <w:r w:rsidR="009A7BEC" w:rsidRPr="009A7BEC">
        <w:t xml:space="preserve"> The World Bank has also provided guidance on  three possible categories for AML/CFT tiering, the associated AML/CFT restrictions, and the associated product features or controls.</w:t>
      </w:r>
      <w:r w:rsidR="009A7BEC" w:rsidRPr="009A7BEC">
        <w:rPr>
          <w:rFonts w:ascii="Cambria" w:hAnsi="Cambria" w:cs="Cambria"/>
        </w:rPr>
        <w:t> </w:t>
      </w:r>
      <w:r w:rsidR="00F701C6">
        <w:t>T</w:t>
      </w:r>
      <w:r w:rsidR="00504002">
        <w:t xml:space="preserve">able </w:t>
      </w:r>
      <w:r w:rsidR="00C251A5">
        <w:t>5</w:t>
      </w:r>
      <w:r w:rsidR="00737CD9">
        <w:t xml:space="preserve"> below</w:t>
      </w:r>
      <w:r w:rsidR="00504002">
        <w:t xml:space="preserve"> provides an overview of </w:t>
      </w:r>
      <w:r w:rsidR="009A7BEC">
        <w:t>a subset of</w:t>
      </w:r>
      <w:r w:rsidR="00504002">
        <w:t xml:space="preserve"> countries that have adopted a hybrid approach to </w:t>
      </w:r>
      <w:r w:rsidR="009A7BEC">
        <w:t xml:space="preserve">implement AML/CFT tiering to </w:t>
      </w:r>
      <w:r w:rsidR="00504002">
        <w:t>enable entities to implement basic transaction accounts with simplified or tailored customer due diligence processes</w:t>
      </w:r>
      <w:r w:rsidR="007A5FFC">
        <w:t>.</w:t>
      </w:r>
    </w:p>
    <w:p w14:paraId="667447B4" w14:textId="0771DA75" w:rsidR="00051F65" w:rsidRDefault="00051F65" w:rsidP="000D4362">
      <w:pPr>
        <w:pStyle w:val="Caption"/>
      </w:pPr>
      <w:bookmarkStart w:id="51" w:name="_Toc195096984"/>
      <w:r>
        <w:t xml:space="preserve">Table </w:t>
      </w:r>
      <w:r w:rsidR="00C251A5">
        <w:t>5</w:t>
      </w:r>
      <w:r>
        <w:t xml:space="preserve">: </w:t>
      </w:r>
      <w:r w:rsidRPr="00CD03A4">
        <w:t>Case studies of hybrid approach to basic transaction accounts</w:t>
      </w:r>
      <w:bookmarkEnd w:id="51"/>
    </w:p>
    <w:tbl>
      <w:tblPr>
        <w:tblStyle w:val="CoFR"/>
        <w:tblW w:w="5000" w:type="pct"/>
        <w:tblLook w:val="04A0" w:firstRow="1" w:lastRow="0" w:firstColumn="1" w:lastColumn="0" w:noHBand="0" w:noVBand="1"/>
      </w:tblPr>
      <w:tblGrid>
        <w:gridCol w:w="1834"/>
        <w:gridCol w:w="3776"/>
        <w:gridCol w:w="1400"/>
        <w:gridCol w:w="2060"/>
      </w:tblGrid>
      <w:tr w:rsidR="00B525D5" w:rsidRPr="00051F65" w14:paraId="59BF58E0" w14:textId="77777777" w:rsidTr="000D4362">
        <w:trPr>
          <w:cnfStyle w:val="100000000000" w:firstRow="1" w:lastRow="0" w:firstColumn="0" w:lastColumn="0" w:oddVBand="0" w:evenVBand="0" w:oddHBand="0" w:evenHBand="0" w:firstRowFirstColumn="0" w:firstRowLastColumn="0" w:lastRowFirstColumn="0" w:lastRowLastColumn="0"/>
          <w:trHeight w:val="701"/>
        </w:trPr>
        <w:tc>
          <w:tcPr>
            <w:tcW w:w="1020" w:type="pct"/>
          </w:tcPr>
          <w:p w14:paraId="12A07804" w14:textId="071B4FF8" w:rsidR="00B525D5" w:rsidRPr="00051F65" w:rsidRDefault="006A69DA" w:rsidP="000D4362">
            <w:pPr>
              <w:keepNext/>
              <w:spacing w:before="144" w:after="144"/>
            </w:pPr>
            <w:r w:rsidRPr="00051F65">
              <w:t xml:space="preserve"> </w:t>
            </w:r>
          </w:p>
        </w:tc>
        <w:tc>
          <w:tcPr>
            <w:tcW w:w="2090" w:type="pct"/>
          </w:tcPr>
          <w:p w14:paraId="3128DAD1" w14:textId="747FE234" w:rsidR="00B525D5" w:rsidRPr="00051F65" w:rsidRDefault="00D15DFB" w:rsidP="000D4362">
            <w:pPr>
              <w:keepNext/>
              <w:spacing w:before="144" w:after="144"/>
            </w:pPr>
            <w:r w:rsidRPr="00051F65">
              <w:t xml:space="preserve">Implementing </w:t>
            </w:r>
            <w:r w:rsidR="00760715" w:rsidRPr="00051F65">
              <w:t>a</w:t>
            </w:r>
            <w:r w:rsidR="004F6E6A" w:rsidRPr="00051F65">
              <w:t>gency</w:t>
            </w:r>
            <w:r w:rsidR="00FF1017" w:rsidRPr="00051F65">
              <w:t xml:space="preserve"> for AML/CFT tiering</w:t>
            </w:r>
          </w:p>
        </w:tc>
        <w:tc>
          <w:tcPr>
            <w:tcW w:w="746" w:type="pct"/>
          </w:tcPr>
          <w:p w14:paraId="075F4198" w14:textId="77777777" w:rsidR="00B525D5" w:rsidRPr="00051F65" w:rsidRDefault="00B525D5" w:rsidP="000D4362">
            <w:pPr>
              <w:keepNext/>
              <w:spacing w:before="144" w:after="144"/>
              <w:jc w:val="right"/>
            </w:pPr>
            <w:r w:rsidRPr="00051F65">
              <w:t>Unbanked population</w:t>
            </w:r>
            <w:r w:rsidRPr="00051F65">
              <w:rPr>
                <w:vertAlign w:val="superscript"/>
              </w:rPr>
              <w:footnoteReference w:id="87"/>
            </w:r>
          </w:p>
        </w:tc>
        <w:tc>
          <w:tcPr>
            <w:tcW w:w="1144" w:type="pct"/>
          </w:tcPr>
          <w:p w14:paraId="6C642A80" w14:textId="77777777" w:rsidR="00B525D5" w:rsidRPr="00051F65" w:rsidRDefault="00B525D5" w:rsidP="000D4362">
            <w:pPr>
              <w:keepNext/>
              <w:spacing w:before="144" w:after="144"/>
              <w:jc w:val="right"/>
            </w:pPr>
            <w:r w:rsidRPr="00051F65">
              <w:t>Year introduced</w:t>
            </w:r>
          </w:p>
        </w:tc>
      </w:tr>
      <w:tr w:rsidR="00B525D5" w:rsidRPr="00051F65" w14:paraId="704D36C3" w14:textId="77777777" w:rsidTr="000D4362">
        <w:trPr>
          <w:cnfStyle w:val="000000100000" w:firstRow="0" w:lastRow="0" w:firstColumn="0" w:lastColumn="0" w:oddVBand="0" w:evenVBand="0" w:oddHBand="1" w:evenHBand="0" w:firstRowFirstColumn="0" w:firstRowLastColumn="0" w:lastRowFirstColumn="0" w:lastRowLastColumn="0"/>
          <w:trHeight w:val="260"/>
        </w:trPr>
        <w:tc>
          <w:tcPr>
            <w:tcW w:w="1020" w:type="pct"/>
          </w:tcPr>
          <w:p w14:paraId="1CC16444" w14:textId="7BE9D948" w:rsidR="00B525D5" w:rsidRPr="00051F65" w:rsidRDefault="00D462CA" w:rsidP="000D4362">
            <w:pPr>
              <w:keepNext/>
              <w:spacing w:before="144" w:after="144"/>
            </w:pPr>
            <w:r w:rsidRPr="00051F65">
              <w:t xml:space="preserve">Nigeria </w:t>
            </w:r>
          </w:p>
        </w:tc>
        <w:tc>
          <w:tcPr>
            <w:tcW w:w="2090" w:type="pct"/>
          </w:tcPr>
          <w:p w14:paraId="423044D8" w14:textId="3A07EC26" w:rsidR="00B525D5" w:rsidRPr="00051F65" w:rsidRDefault="000460F8" w:rsidP="000D4362">
            <w:pPr>
              <w:keepNext/>
              <w:spacing w:before="144" w:after="144"/>
            </w:pPr>
            <w:r w:rsidRPr="00051F65">
              <w:t xml:space="preserve">Central Bank </w:t>
            </w:r>
          </w:p>
        </w:tc>
        <w:tc>
          <w:tcPr>
            <w:tcW w:w="746" w:type="pct"/>
          </w:tcPr>
          <w:p w14:paraId="50CDD887" w14:textId="2483D96D" w:rsidR="00B525D5" w:rsidRPr="00051F65" w:rsidRDefault="00444353" w:rsidP="000D4362">
            <w:pPr>
              <w:keepNext/>
              <w:spacing w:before="144" w:after="144"/>
              <w:jc w:val="right"/>
            </w:pPr>
            <w:r>
              <w:t>32.0</w:t>
            </w:r>
            <w:r w:rsidR="00061FCB" w:rsidRPr="00051F65">
              <w:t>%</w:t>
            </w:r>
            <w:r w:rsidR="00CD7DAA" w:rsidRPr="002E53AF">
              <w:rPr>
                <w:vertAlign w:val="superscript"/>
              </w:rPr>
              <w:footnoteReference w:id="88"/>
            </w:r>
          </w:p>
        </w:tc>
        <w:tc>
          <w:tcPr>
            <w:tcW w:w="1144" w:type="pct"/>
          </w:tcPr>
          <w:p w14:paraId="03F88684" w14:textId="30A1F51C" w:rsidR="00B525D5" w:rsidRPr="00051F65" w:rsidRDefault="00C50E54" w:rsidP="000D4362">
            <w:pPr>
              <w:keepNext/>
              <w:spacing w:before="144" w:after="144"/>
              <w:jc w:val="right"/>
            </w:pPr>
            <w:r w:rsidRPr="00051F65">
              <w:t>2012</w:t>
            </w:r>
          </w:p>
        </w:tc>
      </w:tr>
      <w:tr w:rsidR="00B525D5" w:rsidRPr="00051F65" w14:paraId="6D169D2F" w14:textId="77777777" w:rsidTr="000D4362">
        <w:trPr>
          <w:cnfStyle w:val="000000010000" w:firstRow="0" w:lastRow="0" w:firstColumn="0" w:lastColumn="0" w:oddVBand="0" w:evenVBand="0" w:oddHBand="0" w:evenHBand="1" w:firstRowFirstColumn="0" w:firstRowLastColumn="0" w:lastRowFirstColumn="0" w:lastRowLastColumn="0"/>
          <w:trHeight w:val="337"/>
        </w:trPr>
        <w:tc>
          <w:tcPr>
            <w:tcW w:w="1020" w:type="pct"/>
          </w:tcPr>
          <w:p w14:paraId="5D3ADB9C" w14:textId="33AF6DB4" w:rsidR="00B525D5" w:rsidRPr="00051F65" w:rsidRDefault="00D462CA" w:rsidP="00051F65">
            <w:pPr>
              <w:spacing w:before="144" w:after="144"/>
            </w:pPr>
            <w:r w:rsidRPr="00051F65">
              <w:t xml:space="preserve">Mexico </w:t>
            </w:r>
          </w:p>
        </w:tc>
        <w:tc>
          <w:tcPr>
            <w:tcW w:w="2090" w:type="pct"/>
          </w:tcPr>
          <w:p w14:paraId="3607EAC8" w14:textId="018F0841" w:rsidR="00B525D5" w:rsidRPr="00051F65" w:rsidRDefault="000460F8" w:rsidP="00051F65">
            <w:pPr>
              <w:spacing w:before="144" w:after="144"/>
            </w:pPr>
            <w:r w:rsidRPr="00051F65">
              <w:t>CNB</w:t>
            </w:r>
            <w:r w:rsidR="0081362F" w:rsidRPr="00051F65">
              <w:t xml:space="preserve">V, SHCP and </w:t>
            </w:r>
            <w:r w:rsidR="00A760F3" w:rsidRPr="00051F65">
              <w:t>Banxico</w:t>
            </w:r>
            <w:r w:rsidR="00A760F3" w:rsidRPr="00051F65">
              <w:rPr>
                <w:rFonts w:ascii="Times New Roman" w:hAnsi="Times New Roman" w:cs="Times New Roman"/>
              </w:rPr>
              <w:t> </w:t>
            </w:r>
          </w:p>
        </w:tc>
        <w:tc>
          <w:tcPr>
            <w:tcW w:w="746" w:type="pct"/>
          </w:tcPr>
          <w:p w14:paraId="68C6BED7" w14:textId="3ACB04CB" w:rsidR="00B525D5" w:rsidRPr="00051F65" w:rsidRDefault="001245F7" w:rsidP="00051F65">
            <w:pPr>
              <w:spacing w:before="144" w:after="144"/>
              <w:jc w:val="right"/>
            </w:pPr>
            <w:r w:rsidRPr="00051F65">
              <w:t>51</w:t>
            </w:r>
            <w:r w:rsidR="002B0E05">
              <w:t>.0</w:t>
            </w:r>
            <w:r w:rsidRPr="00051F65">
              <w:t>%</w:t>
            </w:r>
          </w:p>
        </w:tc>
        <w:tc>
          <w:tcPr>
            <w:tcW w:w="1144" w:type="pct"/>
          </w:tcPr>
          <w:p w14:paraId="2B94232F" w14:textId="0C671D71" w:rsidR="00B525D5" w:rsidRPr="00051F65" w:rsidRDefault="00C60E62" w:rsidP="00051F65">
            <w:pPr>
              <w:spacing w:before="144" w:after="144"/>
              <w:jc w:val="right"/>
            </w:pPr>
            <w:r w:rsidRPr="00051F65">
              <w:t>2011</w:t>
            </w:r>
          </w:p>
        </w:tc>
      </w:tr>
      <w:tr w:rsidR="00B525D5" w:rsidRPr="00051F65" w14:paraId="2AECE640" w14:textId="77777777" w:rsidTr="000D4362">
        <w:trPr>
          <w:cnfStyle w:val="000000100000" w:firstRow="0" w:lastRow="0" w:firstColumn="0" w:lastColumn="0" w:oddVBand="0" w:evenVBand="0" w:oddHBand="1" w:evenHBand="0" w:firstRowFirstColumn="0" w:firstRowLastColumn="0" w:lastRowFirstColumn="0" w:lastRowLastColumn="0"/>
          <w:trHeight w:val="337"/>
        </w:trPr>
        <w:tc>
          <w:tcPr>
            <w:tcW w:w="1020" w:type="pct"/>
          </w:tcPr>
          <w:p w14:paraId="17990F7C" w14:textId="32A9D5C8" w:rsidR="00B525D5" w:rsidRPr="00051F65" w:rsidRDefault="00D462CA" w:rsidP="00051F65">
            <w:pPr>
              <w:spacing w:before="144" w:after="144"/>
            </w:pPr>
            <w:r w:rsidRPr="00051F65">
              <w:t xml:space="preserve">Peru </w:t>
            </w:r>
          </w:p>
        </w:tc>
        <w:tc>
          <w:tcPr>
            <w:tcW w:w="2090" w:type="pct"/>
          </w:tcPr>
          <w:p w14:paraId="65F3C1D1" w14:textId="5DFE5D00" w:rsidR="00B525D5" w:rsidRPr="00051F65" w:rsidRDefault="007E6D06" w:rsidP="00051F65">
            <w:pPr>
              <w:spacing w:before="144" w:after="144"/>
            </w:pPr>
            <w:r w:rsidRPr="00051F65">
              <w:t>Prudential Regulator (SBS)</w:t>
            </w:r>
          </w:p>
        </w:tc>
        <w:tc>
          <w:tcPr>
            <w:tcW w:w="746" w:type="pct"/>
          </w:tcPr>
          <w:p w14:paraId="535F4A7D" w14:textId="4F341779" w:rsidR="00B525D5" w:rsidRPr="00051F65" w:rsidRDefault="00222389" w:rsidP="00051F65">
            <w:pPr>
              <w:spacing w:before="144" w:after="144"/>
              <w:jc w:val="right"/>
            </w:pPr>
            <w:r>
              <w:t>42.5</w:t>
            </w:r>
            <w:r w:rsidR="00A1194D" w:rsidRPr="00051F65">
              <w:t>%</w:t>
            </w:r>
          </w:p>
        </w:tc>
        <w:tc>
          <w:tcPr>
            <w:tcW w:w="1144" w:type="pct"/>
          </w:tcPr>
          <w:p w14:paraId="09B975E7" w14:textId="518E0DA2" w:rsidR="00B525D5" w:rsidRPr="00051F65" w:rsidRDefault="009B057C" w:rsidP="00051F65">
            <w:pPr>
              <w:spacing w:before="144" w:after="144"/>
              <w:jc w:val="right"/>
            </w:pPr>
            <w:r w:rsidRPr="00051F65">
              <w:t>2015</w:t>
            </w:r>
          </w:p>
        </w:tc>
      </w:tr>
      <w:tr w:rsidR="00EF4F65" w:rsidRPr="00051F65" w14:paraId="73D87299" w14:textId="77777777" w:rsidTr="000D4362">
        <w:trPr>
          <w:cnfStyle w:val="000000010000" w:firstRow="0" w:lastRow="0" w:firstColumn="0" w:lastColumn="0" w:oddVBand="0" w:evenVBand="0" w:oddHBand="0" w:evenHBand="1" w:firstRowFirstColumn="0" w:firstRowLastColumn="0" w:lastRowFirstColumn="0" w:lastRowLastColumn="0"/>
          <w:trHeight w:val="337"/>
        </w:trPr>
        <w:tc>
          <w:tcPr>
            <w:tcW w:w="1020" w:type="pct"/>
          </w:tcPr>
          <w:p w14:paraId="1C8A8ECE" w14:textId="7008A2E8" w:rsidR="00EF4F65" w:rsidRPr="00051F65" w:rsidRDefault="00EF4F65" w:rsidP="00051F65">
            <w:pPr>
              <w:spacing w:before="144" w:after="144"/>
            </w:pPr>
            <w:r w:rsidRPr="00051F65">
              <w:lastRenderedPageBreak/>
              <w:t xml:space="preserve">Brazil </w:t>
            </w:r>
          </w:p>
        </w:tc>
        <w:tc>
          <w:tcPr>
            <w:tcW w:w="2090" w:type="pct"/>
          </w:tcPr>
          <w:p w14:paraId="0A953F05" w14:textId="2B01AB5D" w:rsidR="00EF4F65" w:rsidRPr="00051F65" w:rsidRDefault="0081362F" w:rsidP="00051F65">
            <w:pPr>
              <w:spacing w:before="144" w:after="144"/>
            </w:pPr>
            <w:r w:rsidRPr="00051F65">
              <w:t>Central Bank</w:t>
            </w:r>
          </w:p>
        </w:tc>
        <w:tc>
          <w:tcPr>
            <w:tcW w:w="746" w:type="pct"/>
          </w:tcPr>
          <w:p w14:paraId="1A9F4F8D" w14:textId="20AF1494" w:rsidR="00EF4F65" w:rsidRPr="00051F65" w:rsidRDefault="00DF6D41" w:rsidP="00051F65">
            <w:pPr>
              <w:spacing w:before="144" w:after="144"/>
              <w:jc w:val="right"/>
            </w:pPr>
            <w:r w:rsidRPr="00051F65">
              <w:t>16</w:t>
            </w:r>
            <w:r w:rsidR="00222389">
              <w:t>.0</w:t>
            </w:r>
            <w:r w:rsidRPr="00051F65">
              <w:t>%</w:t>
            </w:r>
          </w:p>
        </w:tc>
        <w:tc>
          <w:tcPr>
            <w:tcW w:w="1144" w:type="pct"/>
          </w:tcPr>
          <w:p w14:paraId="6CBB988E" w14:textId="6DA24D41" w:rsidR="00EF4F65" w:rsidRPr="00051F65" w:rsidRDefault="008718E3" w:rsidP="00051F65">
            <w:pPr>
              <w:spacing w:before="144" w:after="144"/>
              <w:jc w:val="right"/>
            </w:pPr>
            <w:r w:rsidRPr="00051F65">
              <w:t>2004</w:t>
            </w:r>
          </w:p>
        </w:tc>
      </w:tr>
      <w:tr w:rsidR="00EF4F65" w:rsidRPr="00051F65" w14:paraId="4CC860C5" w14:textId="77777777" w:rsidTr="000D4362">
        <w:trPr>
          <w:cnfStyle w:val="000000100000" w:firstRow="0" w:lastRow="0" w:firstColumn="0" w:lastColumn="0" w:oddVBand="0" w:evenVBand="0" w:oddHBand="1" w:evenHBand="0" w:firstRowFirstColumn="0" w:firstRowLastColumn="0" w:lastRowFirstColumn="0" w:lastRowLastColumn="0"/>
          <w:trHeight w:val="337"/>
        </w:trPr>
        <w:tc>
          <w:tcPr>
            <w:tcW w:w="1020" w:type="pct"/>
          </w:tcPr>
          <w:p w14:paraId="621348EB" w14:textId="6C1CFA37" w:rsidR="00EF4F65" w:rsidRPr="00051F65" w:rsidRDefault="008B7958" w:rsidP="00051F65">
            <w:pPr>
              <w:spacing w:before="144" w:after="144"/>
            </w:pPr>
            <w:r w:rsidRPr="00051F65">
              <w:t xml:space="preserve">Egypt </w:t>
            </w:r>
          </w:p>
        </w:tc>
        <w:tc>
          <w:tcPr>
            <w:tcW w:w="2090" w:type="pct"/>
          </w:tcPr>
          <w:p w14:paraId="18E15011" w14:textId="489A9C63" w:rsidR="00EF4F65" w:rsidRPr="00051F65" w:rsidRDefault="00657D43" w:rsidP="00051F65">
            <w:pPr>
              <w:spacing w:before="144" w:after="144"/>
            </w:pPr>
            <w:r w:rsidRPr="00051F65">
              <w:t>Central Bank of Egypt and Financial Regulatory Authority</w:t>
            </w:r>
          </w:p>
        </w:tc>
        <w:tc>
          <w:tcPr>
            <w:tcW w:w="746" w:type="pct"/>
          </w:tcPr>
          <w:p w14:paraId="16C96250" w14:textId="219A72DE" w:rsidR="00EF4F65" w:rsidRPr="00051F65" w:rsidRDefault="007302AA" w:rsidP="00051F65">
            <w:pPr>
              <w:spacing w:before="144" w:after="144"/>
              <w:jc w:val="right"/>
            </w:pPr>
            <w:r w:rsidRPr="00051F65">
              <w:t>29</w:t>
            </w:r>
            <w:r w:rsidR="00222389">
              <w:t>.3</w:t>
            </w:r>
            <w:r w:rsidR="009C58BF" w:rsidRPr="00051F65">
              <w:t>%</w:t>
            </w:r>
            <w:r w:rsidR="00CD7DAA" w:rsidRPr="008A38DF">
              <w:rPr>
                <w:vertAlign w:val="superscript"/>
              </w:rPr>
              <w:footnoteReference w:id="89"/>
            </w:r>
          </w:p>
        </w:tc>
        <w:tc>
          <w:tcPr>
            <w:tcW w:w="1144" w:type="pct"/>
          </w:tcPr>
          <w:p w14:paraId="46CD4B23" w14:textId="257513BF" w:rsidR="00EF4F65" w:rsidRPr="00051F65" w:rsidRDefault="007719F5" w:rsidP="00051F65">
            <w:pPr>
              <w:spacing w:before="144" w:after="144"/>
              <w:jc w:val="right"/>
            </w:pPr>
            <w:r w:rsidRPr="00051F65">
              <w:t>2013</w:t>
            </w:r>
          </w:p>
        </w:tc>
      </w:tr>
    </w:tbl>
    <w:p w14:paraId="5B1D69BE" w14:textId="77777777" w:rsidR="00B525D5" w:rsidRDefault="00B525D5" w:rsidP="00051F65">
      <w:pPr>
        <w:pStyle w:val="InbetweenTableSpacing"/>
      </w:pPr>
    </w:p>
    <w:p w14:paraId="532C8223" w14:textId="286D12BA" w:rsidR="0071383E" w:rsidRDefault="0071383E" w:rsidP="00954C8C">
      <w:pPr>
        <w:spacing w:after="120"/>
      </w:pPr>
      <w:r w:rsidRPr="0071383E">
        <w:t>Tiered KYC</w:t>
      </w:r>
      <w:r>
        <w:t xml:space="preserve"> </w:t>
      </w:r>
      <w:r w:rsidR="0065244A" w:rsidRPr="0065244A">
        <w:t>applies varying</w:t>
      </w:r>
      <w:r w:rsidRPr="0071383E">
        <w:t xml:space="preserve"> requirements </w:t>
      </w:r>
      <w:r w:rsidR="0065244A" w:rsidRPr="0065244A">
        <w:t>based on</w:t>
      </w:r>
      <w:r w:rsidRPr="0071383E">
        <w:t xml:space="preserve"> controls that reduce </w:t>
      </w:r>
      <w:r w:rsidR="00737CD9">
        <w:t>A</w:t>
      </w:r>
      <w:r w:rsidRPr="0071383E">
        <w:t>ML/</w:t>
      </w:r>
      <w:r w:rsidR="00737CD9">
        <w:t>C</w:t>
      </w:r>
      <w:r w:rsidRPr="0071383E">
        <w:t xml:space="preserve">FT risk. </w:t>
      </w:r>
      <w:r w:rsidR="0083256F" w:rsidRPr="0083256F">
        <w:t>Basic</w:t>
      </w:r>
      <w:r w:rsidRPr="0071383E">
        <w:t xml:space="preserve"> bank accounts</w:t>
      </w:r>
      <w:r w:rsidR="0083256F" w:rsidRPr="0083256F">
        <w:t xml:space="preserve"> with restrictions on </w:t>
      </w:r>
      <w:r w:rsidRPr="0071383E">
        <w:t xml:space="preserve">volume or value </w:t>
      </w:r>
      <w:r w:rsidR="0083256F" w:rsidRPr="0083256F">
        <w:t>can be exempt</w:t>
      </w:r>
      <w:r w:rsidRPr="0071383E">
        <w:t xml:space="preserve"> from AML/CFT requirements</w:t>
      </w:r>
      <w:r w:rsidR="0083256F" w:rsidRPr="0083256F">
        <w:t>, as they pose lower risks</w:t>
      </w:r>
      <w:r w:rsidRPr="0071383E">
        <w:t xml:space="preserve"> for money laundering and terrorism </w:t>
      </w:r>
      <w:r w:rsidR="0083256F" w:rsidRPr="0083256F">
        <w:t>financing</w:t>
      </w:r>
      <w:r w:rsidRPr="0071383E">
        <w:t xml:space="preserve">. </w:t>
      </w:r>
      <w:r w:rsidR="005C70A3" w:rsidRPr="005C70A3">
        <w:rPr>
          <w:b/>
          <w:bCs/>
        </w:rPr>
        <w:t>Appendix One</w:t>
      </w:r>
      <w:r w:rsidR="005C70A3">
        <w:t xml:space="preserve"> provides further information on the case studies included in Table </w:t>
      </w:r>
      <w:r w:rsidR="00C251A5">
        <w:t>4</w:t>
      </w:r>
      <w:r w:rsidR="005C70A3">
        <w:t xml:space="preserve">. </w:t>
      </w:r>
    </w:p>
    <w:p w14:paraId="0AD8E3E1" w14:textId="6EAD8E43" w:rsidR="00616618" w:rsidRDefault="00737CD9" w:rsidP="00954C8C">
      <w:pPr>
        <w:spacing w:after="120"/>
      </w:pPr>
      <w:r>
        <w:t xml:space="preserve">Hybrid </w:t>
      </w:r>
      <w:r w:rsidR="1A0DEDA8">
        <w:t xml:space="preserve">KYC </w:t>
      </w:r>
      <w:r>
        <w:t xml:space="preserve">approaches involve </w:t>
      </w:r>
      <w:r w:rsidR="1A0DEDA8">
        <w:t xml:space="preserve">shared responsibility, with </w:t>
      </w:r>
      <w:r>
        <w:t xml:space="preserve">regulators </w:t>
      </w:r>
      <w:r w:rsidR="1A0DEDA8">
        <w:t>providing</w:t>
      </w:r>
      <w:r>
        <w:t xml:space="preserve"> clear guidelines for </w:t>
      </w:r>
      <w:r w:rsidRPr="00DF4050">
        <w:t xml:space="preserve">onboarding </w:t>
      </w:r>
      <w:r w:rsidR="1A0DEDA8">
        <w:t xml:space="preserve">basic transaction accounts. This allows </w:t>
      </w:r>
      <w:r w:rsidRPr="00DF4050">
        <w:t xml:space="preserve">financial institutions to tailor their customer due diligence to the specific </w:t>
      </w:r>
      <w:r w:rsidR="1A0DEDA8">
        <w:t xml:space="preserve">risks of these accounts. </w:t>
      </w:r>
      <w:r w:rsidR="14D8FCFB">
        <w:t xml:space="preserve">This approach </w:t>
      </w:r>
      <w:r w:rsidR="009A7BEC" w:rsidRPr="00DF4050">
        <w:t>can enable a</w:t>
      </w:r>
      <w:r w:rsidR="009A7BEC" w:rsidRPr="00475CC8">
        <w:t xml:space="preserve"> more nuanced, risk-sensitive approach</w:t>
      </w:r>
      <w:r w:rsidR="009A7BEC">
        <w:t xml:space="preserve"> to </w:t>
      </w:r>
      <w:r w:rsidR="009B3AA6">
        <w:t xml:space="preserve">onboarding </w:t>
      </w:r>
      <w:r w:rsidR="009A7BEC">
        <w:t>underserved customers</w:t>
      </w:r>
      <w:r w:rsidR="009A7BEC" w:rsidRPr="00475CC8">
        <w:t xml:space="preserve">. By </w:t>
      </w:r>
      <w:r w:rsidR="67A9F364">
        <w:t>allowing</w:t>
      </w:r>
      <w:r w:rsidR="009A7BEC" w:rsidRPr="00475CC8">
        <w:t xml:space="preserve"> institutions to </w:t>
      </w:r>
      <w:r w:rsidR="67A9F364">
        <w:t>customise</w:t>
      </w:r>
      <w:r w:rsidR="009A7BEC" w:rsidRPr="00475CC8">
        <w:t xml:space="preserve"> their compliance efforts</w:t>
      </w:r>
      <w:r w:rsidR="67A9F364">
        <w:t>, the hybrid approach supports</w:t>
      </w:r>
      <w:r w:rsidR="009A7BEC" w:rsidRPr="00475CC8">
        <w:t xml:space="preserve"> innovation while ensuring regulatory </w:t>
      </w:r>
      <w:r w:rsidR="67A9F364">
        <w:t>compliance</w:t>
      </w:r>
      <w:r w:rsidR="18E051A7">
        <w:t>.</w:t>
      </w:r>
      <w:r w:rsidR="009A7BEC">
        <w:t xml:space="preserve"> </w:t>
      </w:r>
      <w:r w:rsidR="00616618">
        <w:t>For</w:t>
      </w:r>
      <w:r w:rsidR="00B25352" w:rsidRPr="0071383E">
        <w:rPr>
          <w:i/>
          <w:iCs/>
        </w:rPr>
        <w:t xml:space="preserve"> customers</w:t>
      </w:r>
      <w:r w:rsidR="00B25352" w:rsidRPr="0071383E">
        <w:t>, tiered KYC enable</w:t>
      </w:r>
      <w:r w:rsidR="00B25352">
        <w:t>s</w:t>
      </w:r>
      <w:r w:rsidR="00B25352" w:rsidRPr="0071383E">
        <w:t xml:space="preserve"> a </w:t>
      </w:r>
      <w:r w:rsidR="00B25352">
        <w:t xml:space="preserve">faster and </w:t>
      </w:r>
      <w:r w:rsidR="00B25352" w:rsidRPr="0071383E">
        <w:t>simplified onboarding process.</w:t>
      </w:r>
      <w:r w:rsidR="00B25352" w:rsidRPr="0071383E">
        <w:rPr>
          <w:rFonts w:ascii="Cambria" w:hAnsi="Cambria" w:cs="Cambria"/>
        </w:rPr>
        <w:t> </w:t>
      </w:r>
      <w:r w:rsidR="00B25352">
        <w:rPr>
          <w:rFonts w:ascii="Cambria" w:hAnsi="Cambria" w:cs="Cambria"/>
        </w:rPr>
        <w:t xml:space="preserve"> </w:t>
      </w:r>
      <w:r w:rsidR="00B25352">
        <w:t xml:space="preserve">However, </w:t>
      </w:r>
      <w:r w:rsidR="00616618">
        <w:t>for</w:t>
      </w:r>
      <w:r w:rsidR="00B25352" w:rsidRPr="0071383E">
        <w:rPr>
          <w:i/>
          <w:iCs/>
        </w:rPr>
        <w:t xml:space="preserve"> financial entities</w:t>
      </w:r>
      <w:r w:rsidR="00B25352" w:rsidRPr="0071383E">
        <w:t xml:space="preserve">, </w:t>
      </w:r>
      <w:r w:rsidR="00B25352">
        <w:t>introducing the controls can incur cost for entities (for example, putting in place balance caps), but can help to</w:t>
      </w:r>
      <w:r w:rsidR="00B25352" w:rsidRPr="00DA7655">
        <w:t xml:space="preserve"> </w:t>
      </w:r>
      <w:r w:rsidR="00B25352" w:rsidRPr="0071383E">
        <w:t>streamlines</w:t>
      </w:r>
      <w:r w:rsidR="00616618">
        <w:t xml:space="preserve"> </w:t>
      </w:r>
      <w:r w:rsidR="00B25352" w:rsidRPr="0071383E">
        <w:t>onboarding</w:t>
      </w:r>
      <w:r w:rsidR="00B25352">
        <w:t xml:space="preserve"> and reduce the time taken to onboarding customers</w:t>
      </w:r>
      <w:r w:rsidR="00616618">
        <w:t xml:space="preserve"> if implemented successfully</w:t>
      </w:r>
      <w:r w:rsidR="00B25352" w:rsidRPr="0071383E">
        <w:t>.</w:t>
      </w:r>
      <w:r w:rsidR="00B25352" w:rsidRPr="0071383E">
        <w:rPr>
          <w:vertAlign w:val="superscript"/>
        </w:rPr>
        <w:footnoteReference w:id="90"/>
      </w:r>
      <w:r w:rsidR="00B25352">
        <w:t xml:space="preserve"> </w:t>
      </w:r>
      <w:r w:rsidR="008954D0">
        <w:t xml:space="preserve">Hybrid </w:t>
      </w:r>
      <w:r w:rsidR="21625A1C">
        <w:t xml:space="preserve">AML/CFT tiering </w:t>
      </w:r>
      <w:r w:rsidR="00B25352">
        <w:t>can be</w:t>
      </w:r>
      <w:r w:rsidR="21625A1C">
        <w:t xml:space="preserve"> effective in fostering product innovation for transaction accounts that cater to underserved or excluded customers</w:t>
      </w:r>
      <w:r w:rsidR="00B25352">
        <w:t>, as seen in</w:t>
      </w:r>
      <w:r w:rsidR="0F1894CF">
        <w:t xml:space="preserve"> Mexico</w:t>
      </w:r>
      <w:r w:rsidR="21625A1C">
        <w:t>.</w:t>
      </w:r>
    </w:p>
    <w:p w14:paraId="66E178C9" w14:textId="77777777" w:rsidR="00616618" w:rsidRPr="00616618" w:rsidRDefault="00616618" w:rsidP="00954C8C">
      <w:pPr>
        <w:spacing w:after="120"/>
      </w:pPr>
    </w:p>
    <w:tbl>
      <w:tblPr>
        <w:tblStyle w:val="CaseStudy"/>
        <w:tblW w:w="5120" w:type="pct"/>
        <w:tblLook w:val="0600" w:firstRow="0" w:lastRow="0" w:firstColumn="0" w:lastColumn="0" w:noHBand="1" w:noVBand="1"/>
      </w:tblPr>
      <w:tblGrid>
        <w:gridCol w:w="9288"/>
      </w:tblGrid>
      <w:tr w:rsidR="00051F65" w14:paraId="159B9F0C" w14:textId="77777777" w:rsidTr="00616618">
        <w:trPr>
          <w:trHeight w:val="4316"/>
        </w:trPr>
        <w:tc>
          <w:tcPr>
            <w:tcW w:w="5000" w:type="pct"/>
          </w:tcPr>
          <w:p w14:paraId="089B32C0" w14:textId="0753C462" w:rsidR="00051F65" w:rsidRDefault="00051F65" w:rsidP="00FB2AD0">
            <w:pPr>
              <w:pStyle w:val="HighlightSectionCaseStudyHeading"/>
            </w:pPr>
            <w:r>
              <w:t xml:space="preserve">Case study: Mexico’s AML/CFT Tiering </w:t>
            </w:r>
          </w:p>
          <w:p w14:paraId="3965E8AA" w14:textId="43772B08" w:rsidR="00051F65" w:rsidRDefault="00051F65" w:rsidP="00FB2AD0">
            <w:pPr>
              <w:spacing w:after="0"/>
            </w:pPr>
            <w:r w:rsidRPr="00385968">
              <w:t>Mexico implemented a tiered approach to AML/CFT regulations, allowing for easier access to bank accounts while maintaining necessary controls. This system, introduced in 2011, was the result of a collaborative effort between financial regulators like the National Banking and Securities Commission and industry stakeholders</w:t>
            </w:r>
            <w:r>
              <w:t>.</w:t>
            </w:r>
            <w:r>
              <w:rPr>
                <w:rStyle w:val="FootnoteReference"/>
              </w:rPr>
              <w:footnoteReference w:id="91"/>
            </w:r>
            <w:r>
              <w:t xml:space="preserve"> The regulators worked </w:t>
            </w:r>
            <w:r w:rsidRPr="00385968">
              <w:t xml:space="preserve">closely with the Financial Action Task Force </w:t>
            </w:r>
            <w:r>
              <w:t>in implementing a tiered approach to AML/CFT regulations, balancing financial inclusion with regulatory compliance. Mexico’s approach included five types of deposit accounts with varying KYC requirements, allowed for anonymous accounts at the lowest tier and enabled non-face-to-face account opening and paperless record keeping for lower-level accounts which were most basic.</w:t>
            </w:r>
            <w:r>
              <w:rPr>
                <w:rStyle w:val="FootnoteReference"/>
              </w:rPr>
              <w:footnoteReference w:id="92"/>
            </w:r>
            <w:r>
              <w:t xml:space="preserve"> </w:t>
            </w:r>
            <w:r w:rsidRPr="0064378D">
              <w:t>As account levels increase, restrictions on transactions are eased, but KYC requirements become progressively more stringent</w:t>
            </w:r>
            <w:r>
              <w:t>.</w:t>
            </w:r>
            <w:r w:rsidR="004E7D42">
              <w:t xml:space="preserve"> As a result of this initiative, 9.1 million accounts were opened in the two years </w:t>
            </w:r>
            <w:r w:rsidR="00063C24">
              <w:t>since launch</w:t>
            </w:r>
            <w:r w:rsidR="00CE6024">
              <w:t>,</w:t>
            </w:r>
            <w:r w:rsidR="00063C24">
              <w:t xml:space="preserve"> of which 50% were very basic (level 1) accounts. </w:t>
            </w:r>
          </w:p>
        </w:tc>
      </w:tr>
    </w:tbl>
    <w:p w14:paraId="54ACAA7D" w14:textId="77777777" w:rsidR="00616618" w:rsidRDefault="00616618" w:rsidP="00616618">
      <w:bookmarkStart w:id="52" w:name="_Toc193437693"/>
    </w:p>
    <w:p w14:paraId="5D71372A" w14:textId="1199CF26" w:rsidR="00C55C55" w:rsidRPr="00C55C55" w:rsidRDefault="00A603C2" w:rsidP="00051F65">
      <w:pPr>
        <w:pStyle w:val="Heading2Numbered"/>
      </w:pPr>
      <w:bookmarkStart w:id="53" w:name="_Toc196208750"/>
      <w:r w:rsidRPr="00C55C55">
        <w:lastRenderedPageBreak/>
        <w:t>Monitoring and ongoing reporting</w:t>
      </w:r>
      <w:bookmarkEnd w:id="52"/>
      <w:bookmarkEnd w:id="53"/>
      <w:r w:rsidRPr="00C55C55">
        <w:t xml:space="preserve"> </w:t>
      </w:r>
    </w:p>
    <w:p w14:paraId="2DD35EEE" w14:textId="24BA2038" w:rsidR="00C55C55" w:rsidRDefault="00C55C55" w:rsidP="00954C8C">
      <w:r w:rsidRPr="00451AF0">
        <w:t xml:space="preserve">Measuring access to basic </w:t>
      </w:r>
      <w:r>
        <w:t>transaction</w:t>
      </w:r>
      <w:r w:rsidRPr="00451AF0">
        <w:t xml:space="preserve"> accounts is important to evaluate the effectiveness of initiatives</w:t>
      </w:r>
      <w:r w:rsidR="005C1C14">
        <w:t xml:space="preserve"> (irrespective of whether they are industry</w:t>
      </w:r>
      <w:r w:rsidR="007E75C5">
        <w:t>-</w:t>
      </w:r>
      <w:r w:rsidR="005C1C14">
        <w:t>led, regulatory led, or a hybrid model)</w:t>
      </w:r>
      <w:r w:rsidRPr="00451AF0">
        <w:t xml:space="preserve">. </w:t>
      </w:r>
      <w:r>
        <w:t>The World Bank Payments System Snapshot found that 69% of regulators with payment system oversight have specific oversight objectives relating to financial inclusion.</w:t>
      </w:r>
      <w:r>
        <w:rPr>
          <w:rStyle w:val="FootnoteReference"/>
        </w:rPr>
        <w:footnoteReference w:id="93"/>
      </w:r>
      <w:r>
        <w:t xml:space="preserve"> </w:t>
      </w:r>
    </w:p>
    <w:p w14:paraId="20ED9506" w14:textId="77777777" w:rsidR="00C55C55" w:rsidRDefault="00C55C55" w:rsidP="00954C8C">
      <w:r>
        <w:t>In the United Kingdom, the</w:t>
      </w:r>
      <w:r w:rsidRPr="005E4F14">
        <w:t xml:space="preserve"> 2014</w:t>
      </w:r>
      <w:r>
        <w:t xml:space="preserve"> Basic Banking Agreement between banks and regulators</w:t>
      </w:r>
      <w:r w:rsidRPr="005E4F14">
        <w:t xml:space="preserve"> included a commitment by participating institutions to provide data to the Treasury on basic </w:t>
      </w:r>
      <w:r>
        <w:t>transaction</w:t>
      </w:r>
      <w:r w:rsidRPr="005E4F14">
        <w:t xml:space="preserve"> accounts</w:t>
      </w:r>
      <w:r>
        <w:t>. Measurement and reporting on basic transaction accounts in the UK included:</w:t>
      </w:r>
      <w:r>
        <w:rPr>
          <w:rStyle w:val="FootnoteReference"/>
        </w:rPr>
        <w:footnoteReference w:id="94"/>
      </w:r>
      <w:r>
        <w:t xml:space="preserve"> </w:t>
      </w:r>
    </w:p>
    <w:p w14:paraId="557AC25F" w14:textId="4419828A" w:rsidR="00C55C55" w:rsidRDefault="00C55C55" w:rsidP="00051F65">
      <w:pPr>
        <w:pStyle w:val="ListBullet"/>
      </w:pPr>
      <w:r>
        <w:t>the number of basic transaction accounts opened among participating institutions</w:t>
      </w:r>
      <w:r w:rsidR="2D209A8A">
        <w:t xml:space="preserve"> (by institution</w:t>
      </w:r>
      <w:r w:rsidR="00390F8B">
        <w:t>).</w:t>
      </w:r>
    </w:p>
    <w:p w14:paraId="617FA361" w14:textId="7AC7DBA0" w:rsidR="00C55C55" w:rsidRDefault="00C55C55" w:rsidP="00051F65">
      <w:pPr>
        <w:pStyle w:val="ListBullet"/>
      </w:pPr>
      <w:r>
        <w:t>the number of basic transaction accounts applications that were refused</w:t>
      </w:r>
      <w:r w:rsidR="4742A309">
        <w:t xml:space="preserve"> (by institution)</w:t>
      </w:r>
      <w:r w:rsidR="00390F8B">
        <w:t>.</w:t>
      </w:r>
    </w:p>
    <w:p w14:paraId="78ABBD84" w14:textId="6E0F2BAA" w:rsidR="00C55C55" w:rsidRDefault="00C55C55" w:rsidP="00051F65">
      <w:pPr>
        <w:pStyle w:val="ListBullet"/>
      </w:pPr>
      <w:r>
        <w:t>the number of basic transaction accounts that were closed or upgraded to alternative banking products</w:t>
      </w:r>
      <w:r w:rsidR="775CA8FD">
        <w:t xml:space="preserve"> (by institution)</w:t>
      </w:r>
      <w:r>
        <w:t>.</w:t>
      </w:r>
    </w:p>
    <w:p w14:paraId="6ABB5CFB" w14:textId="7C942458" w:rsidR="00AC17D5" w:rsidRDefault="00C55C55" w:rsidP="00B83AF4">
      <w:r>
        <w:t>Since the initial agreement, there has also been reporting in the United Kingdom on the reasons behind refusals and closures, and the impacted groups.</w:t>
      </w:r>
      <w:r>
        <w:rPr>
          <w:rStyle w:val="FootnoteReference"/>
        </w:rPr>
        <w:footnoteReference w:id="95"/>
      </w:r>
      <w:r>
        <w:t xml:space="preserve"> Ongoing monitoring of access to basic transaction accounts can help to provide transparency around uptake, the types of customers who benefit from basic transaction accounts, and the effectiveness of participating entities in providing them. </w:t>
      </w:r>
    </w:p>
    <w:p w14:paraId="64221D9A" w14:textId="44208CA1" w:rsidR="00704AF3" w:rsidRDefault="00704AF3" w:rsidP="00051F65">
      <w:pPr>
        <w:pStyle w:val="Heading2Numbered"/>
      </w:pPr>
      <w:bookmarkStart w:id="54" w:name="_Toc193437694"/>
      <w:bookmarkStart w:id="55" w:name="_Toc196208751"/>
      <w:r>
        <w:t>Tailoring responses to domestic contexts and characteristics</w:t>
      </w:r>
      <w:bookmarkEnd w:id="54"/>
      <w:bookmarkEnd w:id="55"/>
    </w:p>
    <w:p w14:paraId="391AAC87" w14:textId="5433A7D5" w:rsidR="00E15486" w:rsidRDefault="00704AF3" w:rsidP="000D4362">
      <w:pPr>
        <w:keepLines/>
        <w:spacing w:after="120"/>
      </w:pPr>
      <w:r>
        <w:t xml:space="preserve">The effectiveness of basic transaction accounts in supporting financial inclusion </w:t>
      </w:r>
      <w:r w:rsidRPr="00C05A39">
        <w:t>are highly dependent on the national contex</w:t>
      </w:r>
      <w:r>
        <w:t>t.</w:t>
      </w:r>
      <w:r>
        <w:rPr>
          <w:rStyle w:val="FootnoteReference"/>
        </w:rPr>
        <w:footnoteReference w:id="96"/>
      </w:r>
      <w:r>
        <w:t xml:space="preserve"> There are unique challenges that can impact approaches to improve access to transaction accounts</w:t>
      </w:r>
      <w:r w:rsidR="00C05A39" w:rsidRPr="00C05A39">
        <w:t>, such as the profile of financial excluded groups, their financial needs, the</w:t>
      </w:r>
      <w:r w:rsidR="00C05A39">
        <w:t xml:space="preserve"> AML/CFT</w:t>
      </w:r>
      <w:r w:rsidR="00C05A39" w:rsidRPr="00C05A39">
        <w:t xml:space="preserve"> risks </w:t>
      </w:r>
      <w:r w:rsidR="00C05A39">
        <w:t>and</w:t>
      </w:r>
      <w:r w:rsidR="00C05A39" w:rsidRPr="00C05A39">
        <w:t xml:space="preserve"> measures in place, and the technology available to monitor transactions.</w:t>
      </w:r>
      <w:r w:rsidR="00C05A39" w:rsidRPr="00C05A39">
        <w:rPr>
          <w:vertAlign w:val="superscript"/>
        </w:rPr>
        <w:footnoteReference w:id="97"/>
      </w:r>
      <w:r w:rsidR="00C05A39" w:rsidRPr="00C05A39">
        <w:t xml:space="preserve"> The </w:t>
      </w:r>
      <w:r>
        <w:t xml:space="preserve">most effective </w:t>
      </w:r>
      <w:r w:rsidR="00C05A39" w:rsidRPr="00C05A39">
        <w:t xml:space="preserve">features of a basic </w:t>
      </w:r>
      <w:r w:rsidR="00C05A39">
        <w:t>transaction accounts can</w:t>
      </w:r>
      <w:r w:rsidR="00C05A39" w:rsidRPr="00C05A39">
        <w:t xml:space="preserve"> also depend on the characteristics of the financial products and the needs of the low income, unserved or underserved group, requiring international approaches to be weighed against the unique needs of </w:t>
      </w:r>
      <w:r>
        <w:t>domestic populations</w:t>
      </w:r>
      <w:r w:rsidR="00C05A39" w:rsidRPr="00C05A39">
        <w:t xml:space="preserve">. </w:t>
      </w:r>
      <w:r>
        <w:t>As a result, we note that</w:t>
      </w:r>
      <w:r w:rsidR="00565DB9">
        <w:t xml:space="preserve"> our</w:t>
      </w:r>
      <w:r w:rsidR="00C05A39">
        <w:t xml:space="preserve"> findings </w:t>
      </w:r>
      <w:r>
        <w:t xml:space="preserve">on </w:t>
      </w:r>
      <w:r w:rsidR="00565DB9">
        <w:t>international</w:t>
      </w:r>
      <w:r>
        <w:t xml:space="preserve"> approaches to improve access to transaction accounts </w:t>
      </w:r>
      <w:r w:rsidR="00C05A39">
        <w:t xml:space="preserve">are relevant, </w:t>
      </w:r>
      <w:r>
        <w:t>but</w:t>
      </w:r>
      <w:r w:rsidR="00C05A39">
        <w:t xml:space="preserve"> further engagement and consultation is required to consider an appropriate response that reflects </w:t>
      </w:r>
      <w:r w:rsidR="004A4E2A">
        <w:t xml:space="preserve">Aotearoa </w:t>
      </w:r>
      <w:r w:rsidR="00C05A39">
        <w:t>New Zealand’s features and characteristics.</w:t>
      </w:r>
    </w:p>
    <w:p w14:paraId="0D74FCD7" w14:textId="70F9E9FB" w:rsidR="000A2E02" w:rsidRPr="007C14D9" w:rsidRDefault="000A2E02" w:rsidP="00051F65">
      <w:pPr>
        <w:pStyle w:val="Heading1Numbered"/>
      </w:pPr>
      <w:bookmarkStart w:id="56" w:name="_Toc193437695"/>
      <w:bookmarkStart w:id="57" w:name="_Toc196208752"/>
      <w:r w:rsidRPr="007C14D9">
        <w:lastRenderedPageBreak/>
        <w:t>Pathways for action</w:t>
      </w:r>
      <w:bookmarkEnd w:id="34"/>
      <w:bookmarkEnd w:id="56"/>
      <w:bookmarkEnd w:id="57"/>
    </w:p>
    <w:p w14:paraId="0CDF4FAD" w14:textId="2938379D" w:rsidR="008D6C54" w:rsidRDefault="000A2E02" w:rsidP="00051F65">
      <w:r w:rsidRPr="007C14D9">
        <w:t xml:space="preserve">This section </w:t>
      </w:r>
      <w:bookmarkStart w:id="58" w:name="_Hlk180402399"/>
      <w:r w:rsidRPr="007C14D9">
        <w:t>looks at opportunities to promote the widespread availability of basic transaction accounts</w:t>
      </w:r>
      <w:bookmarkEnd w:id="58"/>
      <w:r w:rsidR="00C05A39">
        <w:t>, buildin</w:t>
      </w:r>
      <w:r w:rsidR="00CA736D">
        <w:t xml:space="preserve">g on the lessons from the current state of access to transaction accounts in </w:t>
      </w:r>
      <w:r w:rsidR="00954C8C">
        <w:t xml:space="preserve">Aotearoa </w:t>
      </w:r>
      <w:r w:rsidR="00CA736D">
        <w:t>New Zealand and international approaches</w:t>
      </w:r>
      <w:r w:rsidRPr="007C14D9">
        <w:t xml:space="preserve">. This section </w:t>
      </w:r>
      <w:r w:rsidR="00C8533A">
        <w:t>considers</w:t>
      </w:r>
      <w:r w:rsidR="00724377">
        <w:t xml:space="preserve"> the key areas where we are looking for </w:t>
      </w:r>
      <w:r w:rsidR="00E86234">
        <w:t xml:space="preserve">industry and </w:t>
      </w:r>
      <w:r w:rsidR="00724377">
        <w:t xml:space="preserve">public input. </w:t>
      </w:r>
    </w:p>
    <w:p w14:paraId="14B88772" w14:textId="425E33F5" w:rsidR="000A2E02" w:rsidRDefault="00340E5D" w:rsidP="00051F65">
      <w:r>
        <w:t xml:space="preserve">We note that CoFR cannot form a view on the appropriate response to improve access to transaction accounts independently, and we do not hold </w:t>
      </w:r>
      <w:r w:rsidR="007E1644">
        <w:t>all</w:t>
      </w:r>
      <w:r>
        <w:t xml:space="preserve"> the answers. </w:t>
      </w:r>
      <w:r w:rsidR="00232FFE" w:rsidRPr="00232FFE">
        <w:t>It should be noted that the CoFR Regulatory Charter does not accord goal independence (the ability to set policy direction independently), and further engagement with Ministers</w:t>
      </w:r>
      <w:r w:rsidR="00232FFE">
        <w:t xml:space="preserve"> and </w:t>
      </w:r>
      <w:r w:rsidR="00232FFE" w:rsidRPr="00232FFE">
        <w:t>decision makers would be required</w:t>
      </w:r>
      <w:r w:rsidR="00232FFE">
        <w:t xml:space="preserve"> following consultation</w:t>
      </w:r>
      <w:r w:rsidR="00441110">
        <w:t>,</w:t>
      </w:r>
      <w:r w:rsidR="00232FFE">
        <w:t xml:space="preserve"> in order to seek policy decisions on this topic.</w:t>
      </w:r>
      <w:r w:rsidR="00441110">
        <w:rPr>
          <w:rStyle w:val="FootnoteReference"/>
        </w:rPr>
        <w:footnoteReference w:id="98"/>
      </w:r>
      <w:r>
        <w:t xml:space="preserve"> As a result, we are </w:t>
      </w:r>
      <w:r w:rsidR="7ED33893" w:rsidRPr="3BC43E35">
        <w:t>holding</w:t>
      </w:r>
      <w:r>
        <w:t xml:space="preserve"> a period of engagement to help inform our </w:t>
      </w:r>
      <w:r w:rsidR="00AF6D8A">
        <w:t>problem definition</w:t>
      </w:r>
      <w:r>
        <w:t xml:space="preserve">, objective, and </w:t>
      </w:r>
      <w:r w:rsidR="001001C1">
        <w:t>opportunities</w:t>
      </w:r>
      <w:r>
        <w:t xml:space="preserve"> for designing and implementing basic transaction accounts. </w:t>
      </w:r>
      <w:r w:rsidR="000A2E02" w:rsidRPr="007C14D9">
        <w:t xml:space="preserve">This paper aims to start a conversation with financial providers and community organisations on </w:t>
      </w:r>
      <w:r w:rsidR="00CA736D">
        <w:t xml:space="preserve">the issue of access to basic transaction </w:t>
      </w:r>
      <w:r w:rsidR="007E1644">
        <w:t>accounts and</w:t>
      </w:r>
      <w:r w:rsidR="000A2E02" w:rsidRPr="007C14D9">
        <w:t xml:space="preserve"> supports greater collaboration on the detailed aspects of the design and delivery of </w:t>
      </w:r>
      <w:r w:rsidR="00CA736D">
        <w:t>possible solutions</w:t>
      </w:r>
      <w:r w:rsidR="000A2E02" w:rsidRPr="007C14D9">
        <w:t xml:space="preserve">. </w:t>
      </w:r>
    </w:p>
    <w:p w14:paraId="54F4CA40" w14:textId="77777777" w:rsidR="00616618" w:rsidRDefault="00616618" w:rsidP="00051F65"/>
    <w:tbl>
      <w:tblPr>
        <w:tblStyle w:val="SectionSummary"/>
        <w:tblW w:w="5000" w:type="pct"/>
        <w:tblLook w:val="0600" w:firstRow="0" w:lastRow="0" w:firstColumn="0" w:lastColumn="0" w:noHBand="1" w:noVBand="1"/>
      </w:tblPr>
      <w:tblGrid>
        <w:gridCol w:w="9070"/>
      </w:tblGrid>
      <w:tr w:rsidR="00051F65" w14:paraId="336E9C33" w14:textId="77777777" w:rsidTr="000D4362">
        <w:tc>
          <w:tcPr>
            <w:tcW w:w="5000" w:type="pct"/>
          </w:tcPr>
          <w:p w14:paraId="76AA1446" w14:textId="77777777" w:rsidR="00051F65" w:rsidRPr="00E1131C" w:rsidRDefault="00051F65" w:rsidP="00FB2AD0">
            <w:pPr>
              <w:pStyle w:val="HighlightSectionCaseStudyHeading"/>
            </w:pPr>
            <w:r w:rsidRPr="00E1131C">
              <w:t>Section Summary</w:t>
            </w:r>
          </w:p>
          <w:p w14:paraId="75D8B33E" w14:textId="77777777" w:rsidR="00051F65" w:rsidRDefault="00051F65" w:rsidP="00051F65">
            <w:pPr>
              <w:pStyle w:val="ListBullet"/>
            </w:pPr>
            <w:r>
              <w:t xml:space="preserve">There are roles that can be played by both regulators and financial entities to improve access to basic transactional accounts. </w:t>
            </w:r>
          </w:p>
          <w:p w14:paraId="15614E6F" w14:textId="32FC0663" w:rsidR="00051F65" w:rsidRDefault="00051F65" w:rsidP="00051F65">
            <w:pPr>
              <w:pStyle w:val="ListBullet"/>
            </w:pPr>
            <w:r>
              <w:t xml:space="preserve">We have identified key areas where input from stakeholders and the public would help </w:t>
            </w:r>
            <w:r w:rsidR="00037CA0">
              <w:t>inform the discussions</w:t>
            </w:r>
            <w:r>
              <w:t xml:space="preserve">. </w:t>
            </w:r>
            <w:r w:rsidRPr="007C14D9">
              <w:t xml:space="preserve">We are seeking input on </w:t>
            </w:r>
            <w:r w:rsidR="00CC295F">
              <w:t>three</w:t>
            </w:r>
            <w:r w:rsidRPr="007C14D9">
              <w:t xml:space="preserve"> areas:</w:t>
            </w:r>
          </w:p>
          <w:p w14:paraId="510AA402" w14:textId="77777777" w:rsidR="00051F65" w:rsidRPr="00051F65" w:rsidRDefault="00051F65">
            <w:pPr>
              <w:pStyle w:val="ListNumber"/>
              <w:numPr>
                <w:ilvl w:val="0"/>
                <w:numId w:val="3"/>
              </w:numPr>
              <w:ind w:left="745"/>
              <w:rPr>
                <w:rFonts w:ascii="Segoe UI Semibold" w:hAnsi="Segoe UI Semibold"/>
              </w:rPr>
            </w:pPr>
            <w:r w:rsidRPr="00051F65">
              <w:rPr>
                <w:rFonts w:ascii="Segoe UI Semibold" w:hAnsi="Segoe UI Semibold"/>
              </w:rPr>
              <w:t xml:space="preserve">The problem definition and policy objective </w:t>
            </w:r>
          </w:p>
          <w:p w14:paraId="2042B699" w14:textId="28A561C8" w:rsidR="00051F65" w:rsidRPr="001001C1" w:rsidRDefault="00051F65" w:rsidP="001001C1">
            <w:pPr>
              <w:pStyle w:val="ListNumber"/>
              <w:numPr>
                <w:ilvl w:val="0"/>
                <w:numId w:val="3"/>
              </w:numPr>
              <w:ind w:left="745"/>
              <w:rPr>
                <w:rFonts w:ascii="Segoe UI Semibold" w:hAnsi="Segoe UI Semibold"/>
              </w:rPr>
            </w:pPr>
            <w:r w:rsidRPr="001001C1">
              <w:rPr>
                <w:rFonts w:ascii="Segoe UI Semibold" w:hAnsi="Segoe UI Semibold"/>
              </w:rPr>
              <w:t xml:space="preserve">The definition </w:t>
            </w:r>
            <w:r w:rsidR="00246E71">
              <w:rPr>
                <w:rFonts w:ascii="Segoe UI Semibold" w:hAnsi="Segoe UI Semibold"/>
              </w:rPr>
              <w:t xml:space="preserve">and features </w:t>
            </w:r>
            <w:r w:rsidRPr="001001C1">
              <w:rPr>
                <w:rFonts w:ascii="Segoe UI Semibold" w:hAnsi="Segoe UI Semibold"/>
              </w:rPr>
              <w:t xml:space="preserve">of a basic transaction account </w:t>
            </w:r>
          </w:p>
          <w:p w14:paraId="3A63C534" w14:textId="77777777" w:rsidR="00051F65" w:rsidRPr="001001C1" w:rsidRDefault="00051F65" w:rsidP="001001C1">
            <w:pPr>
              <w:pStyle w:val="ListNumber"/>
              <w:numPr>
                <w:ilvl w:val="0"/>
                <w:numId w:val="3"/>
              </w:numPr>
              <w:ind w:left="745"/>
              <w:rPr>
                <w:rFonts w:ascii="Segoe UI Semibold" w:hAnsi="Segoe UI Semibold"/>
              </w:rPr>
            </w:pPr>
            <w:r w:rsidRPr="001001C1">
              <w:rPr>
                <w:rFonts w:ascii="Segoe UI Semibold" w:hAnsi="Segoe UI Semibold"/>
              </w:rPr>
              <w:t xml:space="preserve">The approach to design and implement basic transaction accounts </w:t>
            </w:r>
          </w:p>
          <w:p w14:paraId="086F5DD0" w14:textId="25CF7AB5" w:rsidR="00051F65" w:rsidRPr="00051F65" w:rsidRDefault="00051F65" w:rsidP="00FB2AD0">
            <w:pPr>
              <w:pStyle w:val="ListBullet"/>
              <w:spacing w:after="0"/>
            </w:pPr>
            <w:r>
              <w:t xml:space="preserve">We are seeking feedback on these actions from a broad range of stakeholders to consider practical solutions. </w:t>
            </w:r>
          </w:p>
        </w:tc>
      </w:tr>
    </w:tbl>
    <w:p w14:paraId="7FB2B14B" w14:textId="46560229" w:rsidR="00616618" w:rsidRDefault="00616618" w:rsidP="00616618">
      <w:bookmarkStart w:id="59" w:name="_Toc193437696"/>
    </w:p>
    <w:p w14:paraId="6C9DBA88" w14:textId="77777777" w:rsidR="00616618" w:rsidRDefault="00616618">
      <w:pPr>
        <w:spacing w:after="160" w:line="259" w:lineRule="auto"/>
      </w:pPr>
      <w:r>
        <w:br w:type="page"/>
      </w:r>
    </w:p>
    <w:p w14:paraId="0CF89697" w14:textId="0CB7BBF7" w:rsidR="00107462" w:rsidRDefault="00954C8C" w:rsidP="00051F65">
      <w:pPr>
        <w:pStyle w:val="Heading2Numbered"/>
      </w:pPr>
      <w:bookmarkStart w:id="60" w:name="_Toc196208753"/>
      <w:r>
        <w:lastRenderedPageBreak/>
        <w:t>P</w:t>
      </w:r>
      <w:r w:rsidR="00CA736D" w:rsidRPr="00CA736D">
        <w:t>roblem definition and policy objective</w:t>
      </w:r>
      <w:bookmarkEnd w:id="59"/>
      <w:bookmarkEnd w:id="60"/>
    </w:p>
    <w:p w14:paraId="1E46CAB7" w14:textId="03C8BECC" w:rsidR="002E0B4E" w:rsidRPr="009D63F7" w:rsidRDefault="00CA736D" w:rsidP="00FB2AD0">
      <w:r>
        <w:t xml:space="preserve">We are seeking feedback from stakeholders on whether CoFR has appropriately defined the key </w:t>
      </w:r>
      <w:r w:rsidRPr="009D63F7">
        <w:t>issues associated with access to transaction accounts</w:t>
      </w:r>
      <w:r w:rsidR="00FB4DF2" w:rsidRPr="009D63F7">
        <w:t xml:space="preserve"> as </w:t>
      </w:r>
      <w:r w:rsidR="3C357F3A">
        <w:t>outline</w:t>
      </w:r>
      <w:r w:rsidR="12314B24">
        <w:t>d</w:t>
      </w:r>
      <w:r w:rsidR="00FB4DF2" w:rsidRPr="009D63F7">
        <w:t xml:space="preserve"> below</w:t>
      </w:r>
      <w:r w:rsidR="00954C8C" w:rsidRPr="009D63F7">
        <w:t>.</w:t>
      </w:r>
    </w:p>
    <w:p w14:paraId="29CDD05D" w14:textId="6FA75BB2" w:rsidR="006C744E" w:rsidRPr="00252E3F" w:rsidRDefault="006C744E" w:rsidP="00207146">
      <w:pPr>
        <w:spacing w:after="120"/>
        <w:ind w:left="360"/>
        <w:rPr>
          <w:color w:val="6B2A7F" w:themeColor="accent1"/>
        </w:rPr>
      </w:pPr>
      <w:r w:rsidRPr="00252E3F">
        <w:rPr>
          <w:color w:val="6B2A7F" w:themeColor="accent1"/>
        </w:rPr>
        <w:t xml:space="preserve">Based on the information we have gathered, we interpret that the barriers to opening transaction accounts are </w:t>
      </w:r>
      <w:r w:rsidR="00441110" w:rsidRPr="00252E3F">
        <w:rPr>
          <w:color w:val="6B2A7F" w:themeColor="accent1"/>
        </w:rPr>
        <w:t>widespread</w:t>
      </w:r>
      <w:r w:rsidRPr="00252E3F">
        <w:rPr>
          <w:color w:val="6B2A7F" w:themeColor="accent1"/>
        </w:rPr>
        <w:t>, both in preventing efficient access to some customers and contributing to financial exclusion</w:t>
      </w:r>
      <w:r w:rsidR="00252E3F" w:rsidRPr="00252E3F">
        <w:rPr>
          <w:color w:val="6B2A7F" w:themeColor="accent1"/>
        </w:rPr>
        <w:t xml:space="preserve"> for some consumers (such as recent migrants, older people, those living in remote areas, young people, people living with disabilities and people facing insolvency or bankruptcy)</w:t>
      </w:r>
      <w:r w:rsidRPr="00252E3F">
        <w:rPr>
          <w:color w:val="6B2A7F" w:themeColor="accent1"/>
        </w:rPr>
        <w:t xml:space="preserve">. </w:t>
      </w:r>
    </w:p>
    <w:p w14:paraId="54941572" w14:textId="0275A95D" w:rsidR="00441110" w:rsidRPr="00252E3F" w:rsidRDefault="00441110" w:rsidP="00441110">
      <w:pPr>
        <w:ind w:left="360"/>
        <w:rPr>
          <w:color w:val="6B2A7F" w:themeColor="accent1"/>
        </w:rPr>
      </w:pPr>
      <w:r w:rsidRPr="00252E3F">
        <w:rPr>
          <w:color w:val="6B2A7F" w:themeColor="accent1"/>
        </w:rPr>
        <w:t xml:space="preserve">As a result, </w:t>
      </w:r>
      <w:r w:rsidR="003411DB" w:rsidRPr="00252E3F">
        <w:rPr>
          <w:color w:val="6B2A7F" w:themeColor="accent1"/>
        </w:rPr>
        <w:t>access to transaction accounts</w:t>
      </w:r>
      <w:r w:rsidRPr="00252E3F">
        <w:rPr>
          <w:color w:val="6B2A7F" w:themeColor="accent1"/>
        </w:rPr>
        <w:t xml:space="preserve"> appears to be a</w:t>
      </w:r>
      <w:r w:rsidR="003411DB" w:rsidRPr="00252E3F">
        <w:rPr>
          <w:color w:val="6B2A7F" w:themeColor="accent1"/>
        </w:rPr>
        <w:t xml:space="preserve"> serious </w:t>
      </w:r>
      <w:r w:rsidRPr="00252E3F">
        <w:rPr>
          <w:color w:val="6B2A7F" w:themeColor="accent1"/>
        </w:rPr>
        <w:t>issue in Aotearoa New Zealand</w:t>
      </w:r>
      <w:r w:rsidR="00CE6024" w:rsidRPr="00252E3F">
        <w:rPr>
          <w:color w:val="6B2A7F" w:themeColor="accent1"/>
        </w:rPr>
        <w:t>,</w:t>
      </w:r>
      <w:r w:rsidR="003411DB" w:rsidRPr="00252E3F">
        <w:rPr>
          <w:color w:val="6B2A7F" w:themeColor="accent1"/>
        </w:rPr>
        <w:t xml:space="preserve"> hindering the ability of some New Zealanders to participate fully in the economy and society. It </w:t>
      </w:r>
      <w:r w:rsidRPr="00252E3F">
        <w:rPr>
          <w:color w:val="6B2A7F" w:themeColor="accent1"/>
        </w:rPr>
        <w:t>appears that issues with access to transaction accounts are seen by frontline bank staff on a relatively frequent basis.</w:t>
      </w:r>
      <w:r w:rsidRPr="00252E3F">
        <w:rPr>
          <w:rStyle w:val="FootnoteReference"/>
          <w:color w:val="6B2A7F" w:themeColor="accent1"/>
        </w:rPr>
        <w:footnoteReference w:id="99"/>
      </w:r>
      <w:r w:rsidRPr="00252E3F">
        <w:rPr>
          <w:color w:val="6B2A7F" w:themeColor="accent1"/>
        </w:rPr>
        <w:t xml:space="preserve"> The First Steps to Financial Inclusion Report suggests that the problems associated with access to transaction accounts are primarily related to the way CDD checks are being implemented, such as ID and proof of address verification, which can have unintended consequences for New Zealanders. The problem definition for this work is that some people are not able to open transaction accounts in an efficient and inclusive manner, resulting in financial exclusion. </w:t>
      </w:r>
    </w:p>
    <w:p w14:paraId="5FD2A7FB" w14:textId="416A4AA1" w:rsidR="00207146" w:rsidRPr="00252E3F" w:rsidRDefault="00FB4DF2" w:rsidP="00ED48DD">
      <w:pPr>
        <w:spacing w:after="120"/>
        <w:ind w:left="360"/>
        <w:rPr>
          <w:color w:val="6B2A7F" w:themeColor="accent1"/>
        </w:rPr>
      </w:pPr>
      <w:r w:rsidRPr="00252E3F">
        <w:rPr>
          <w:color w:val="6B2A7F" w:themeColor="accent1"/>
        </w:rPr>
        <w:t xml:space="preserve">CoFR’s policy objective in undertaking </w:t>
      </w:r>
      <w:r w:rsidR="0E03534A" w:rsidRPr="00252E3F">
        <w:rPr>
          <w:color w:val="6B2A7F" w:themeColor="accent1"/>
        </w:rPr>
        <w:t>this</w:t>
      </w:r>
      <w:r w:rsidRPr="00252E3F">
        <w:rPr>
          <w:color w:val="6B2A7F" w:themeColor="accent1"/>
        </w:rPr>
        <w:t xml:space="preserve"> work is to </w:t>
      </w:r>
      <w:r w:rsidR="233A4D90" w:rsidRPr="00252E3F">
        <w:rPr>
          <w:color w:val="6B2A7F" w:themeColor="accent1"/>
        </w:rPr>
        <w:t>highlight opportunities to</w:t>
      </w:r>
      <w:r w:rsidR="0E03534A" w:rsidRPr="00252E3F">
        <w:rPr>
          <w:color w:val="6B2A7F" w:themeColor="accent1"/>
        </w:rPr>
        <w:t xml:space="preserve"> </w:t>
      </w:r>
      <w:r w:rsidRPr="00252E3F">
        <w:rPr>
          <w:color w:val="6B2A7F" w:themeColor="accent1"/>
        </w:rPr>
        <w:t xml:space="preserve">enhance financial inclusion by </w:t>
      </w:r>
      <w:r w:rsidR="022E5A10" w:rsidRPr="00252E3F">
        <w:rPr>
          <w:color w:val="6B2A7F" w:themeColor="accent1"/>
        </w:rPr>
        <w:t xml:space="preserve">reducing </w:t>
      </w:r>
      <w:r w:rsidR="00441110" w:rsidRPr="00252E3F">
        <w:rPr>
          <w:color w:val="6B2A7F" w:themeColor="accent1"/>
        </w:rPr>
        <w:t>unnecessary</w:t>
      </w:r>
      <w:r w:rsidR="5E9BDCC8" w:rsidRPr="00252E3F">
        <w:rPr>
          <w:color w:val="6B2A7F" w:themeColor="accent1"/>
        </w:rPr>
        <w:t xml:space="preserve"> </w:t>
      </w:r>
      <w:r w:rsidRPr="00252E3F">
        <w:rPr>
          <w:color w:val="6B2A7F" w:themeColor="accent1"/>
        </w:rPr>
        <w:t>barriers and improving incentives for the provision of basic transaction accounts. The outcome that we would like to see from this work is that transaction accounts are provided to all segments of the population, irrespective of their economic, physical, or social circumstances, or their technological and financial capabilities. This intended outcome aligns with CoFR's vision of improving access to financial products and services that meet the needs of both consumers and firms.</w:t>
      </w:r>
      <w:r w:rsidR="0E03534A" w:rsidRPr="00252E3F">
        <w:rPr>
          <w:color w:val="6B2A7F" w:themeColor="accent1"/>
        </w:rPr>
        <w:t xml:space="preserve"> </w:t>
      </w:r>
    </w:p>
    <w:p w14:paraId="6FA314A3" w14:textId="32795379" w:rsidR="0032134C" w:rsidRPr="00252E3F" w:rsidRDefault="00FB4DF2" w:rsidP="00FB2AD0">
      <w:r>
        <w:t xml:space="preserve">We are seeking feedback on whether </w:t>
      </w:r>
      <w:r w:rsidR="0617CAF9">
        <w:t xml:space="preserve">we have </w:t>
      </w:r>
      <w:r w:rsidR="0DA5E257">
        <w:t xml:space="preserve">appropriately defined the key issues associated with access to transaction accounts, and whether there is broad support for </w:t>
      </w:r>
      <w:r w:rsidR="00464C52">
        <w:t xml:space="preserve">our objective to </w:t>
      </w:r>
      <w:r w:rsidR="5CEC6E71">
        <w:t>improv</w:t>
      </w:r>
      <w:r w:rsidR="00616618">
        <w:t>e</w:t>
      </w:r>
      <w:r w:rsidR="5CEC6E71">
        <w:t xml:space="preserve"> access to</w:t>
      </w:r>
      <w:r w:rsidR="0DA5E257">
        <w:t xml:space="preserve"> basic transaction accounts.</w:t>
      </w:r>
    </w:p>
    <w:tbl>
      <w:tblPr>
        <w:tblStyle w:val="Questions"/>
        <w:tblW w:w="9508" w:type="dxa"/>
        <w:tblInd w:w="-142" w:type="dxa"/>
        <w:tblLook w:val="0600" w:firstRow="0" w:lastRow="0" w:firstColumn="0" w:lastColumn="0" w:noHBand="1" w:noVBand="1"/>
      </w:tblPr>
      <w:tblGrid>
        <w:gridCol w:w="9508"/>
      </w:tblGrid>
      <w:tr w:rsidR="00051F65" w14:paraId="7F4FDD74" w14:textId="77777777" w:rsidTr="00252E3F">
        <w:trPr>
          <w:trHeight w:val="2746"/>
        </w:trPr>
        <w:tc>
          <w:tcPr>
            <w:tcW w:w="9508" w:type="dxa"/>
          </w:tcPr>
          <w:p w14:paraId="7237FA69" w14:textId="0A1DA778" w:rsidR="00051F65" w:rsidRPr="00954C8C" w:rsidRDefault="00051F65" w:rsidP="00FB2AD0">
            <w:pPr>
              <w:pStyle w:val="HighlightSectionCaseStudyHeading"/>
            </w:pPr>
            <w:r w:rsidRPr="00954C8C">
              <w:lastRenderedPageBreak/>
              <w:t>Question</w:t>
            </w:r>
            <w:r>
              <w:t>s</w:t>
            </w:r>
            <w:r w:rsidRPr="00954C8C">
              <w:t xml:space="preserve"> for engagement:</w:t>
            </w:r>
          </w:p>
          <w:p w14:paraId="20FAC5C2" w14:textId="77777777" w:rsidR="0032134C" w:rsidRPr="0032134C" w:rsidRDefault="0032134C" w:rsidP="0032134C">
            <w:pPr>
              <w:pStyle w:val="ListNumber"/>
              <w:numPr>
                <w:ilvl w:val="0"/>
                <w:numId w:val="12"/>
              </w:numPr>
              <w:rPr>
                <w:rFonts w:cstheme="minorHAnsi"/>
              </w:rPr>
            </w:pPr>
            <w:r w:rsidRPr="0032134C">
              <w:rPr>
                <w:rFonts w:cstheme="minorHAnsi"/>
              </w:rPr>
              <w:t>Do you agree this Issues Paper identifies the key problems associated with access to transaction accounts in Aotearoa New Zealand?</w:t>
            </w:r>
          </w:p>
          <w:p w14:paraId="001F1DAF" w14:textId="77777777" w:rsidR="006F47DB" w:rsidRPr="00252E3F" w:rsidRDefault="0032134C" w:rsidP="0032134C">
            <w:pPr>
              <w:pStyle w:val="ListNumber"/>
              <w:numPr>
                <w:ilvl w:val="0"/>
                <w:numId w:val="12"/>
              </w:numPr>
              <w:rPr>
                <w:rFonts w:cstheme="minorHAnsi"/>
              </w:rPr>
            </w:pPr>
            <w:r w:rsidRPr="0032134C">
              <w:rPr>
                <w:rFonts w:cstheme="minorHAnsi"/>
              </w:rPr>
              <w:t>Do you agree that efforts should be taken by banks and regulators to improve access to transaction accounts in Aotearoa New Zealand?</w:t>
            </w:r>
            <w:r w:rsidRPr="0DC4A1DB">
              <w:t xml:space="preserve"> </w:t>
            </w:r>
          </w:p>
          <w:p w14:paraId="44C26FE8" w14:textId="77777777" w:rsidR="00252E3F" w:rsidRPr="0032134C" w:rsidRDefault="00252E3F" w:rsidP="00252E3F">
            <w:pPr>
              <w:pStyle w:val="ListNumber"/>
              <w:numPr>
                <w:ilvl w:val="0"/>
                <w:numId w:val="12"/>
              </w:numPr>
              <w:rPr>
                <w:rFonts w:cstheme="minorHAnsi"/>
              </w:rPr>
            </w:pPr>
            <w:r w:rsidRPr="0032134C">
              <w:rPr>
                <w:rFonts w:cstheme="minorHAnsi"/>
              </w:rPr>
              <w:t xml:space="preserve">Do you agree with our objective to improve access to transaction accounts through promoting the widespread availability of </w:t>
            </w:r>
            <w:r w:rsidRPr="0032134C">
              <w:rPr>
                <w:rFonts w:cstheme="minorHAnsi"/>
                <w:i/>
                <w:iCs/>
              </w:rPr>
              <w:t>basic transaction accounts</w:t>
            </w:r>
            <w:r w:rsidRPr="0032134C">
              <w:rPr>
                <w:rFonts w:cstheme="minorHAnsi"/>
              </w:rPr>
              <w:t>? </w:t>
            </w:r>
          </w:p>
          <w:p w14:paraId="04C471D6" w14:textId="2E446026" w:rsidR="00252E3F" w:rsidRPr="00252E3F" w:rsidRDefault="00252E3F" w:rsidP="00252E3F">
            <w:pPr>
              <w:pStyle w:val="ListNumber"/>
              <w:numPr>
                <w:ilvl w:val="0"/>
                <w:numId w:val="12"/>
              </w:numPr>
            </w:pPr>
            <w:r w:rsidRPr="0DC4A1DB">
              <w:t xml:space="preserve">Do you agree that all New Zealanders should have the right to access a basic transaction account? </w:t>
            </w:r>
          </w:p>
        </w:tc>
      </w:tr>
    </w:tbl>
    <w:p w14:paraId="289682B1" w14:textId="0AE5302B" w:rsidR="00616618" w:rsidRDefault="00616618" w:rsidP="00616618">
      <w:bookmarkStart w:id="61" w:name="_Toc193437697"/>
    </w:p>
    <w:p w14:paraId="0630D850" w14:textId="3051B8BB" w:rsidR="000A2E02" w:rsidRPr="008264A9" w:rsidRDefault="00954C8C" w:rsidP="00FB2AD0">
      <w:pPr>
        <w:pStyle w:val="Heading2Numbered"/>
      </w:pPr>
      <w:bookmarkStart w:id="62" w:name="_Toc196208754"/>
      <w:r>
        <w:t xml:space="preserve">Definition </w:t>
      </w:r>
      <w:r w:rsidR="00252E3F">
        <w:t xml:space="preserve">and features </w:t>
      </w:r>
      <w:r>
        <w:t>of a basic transaction account</w:t>
      </w:r>
      <w:bookmarkEnd w:id="61"/>
      <w:bookmarkEnd w:id="62"/>
    </w:p>
    <w:p w14:paraId="1AE73BDF" w14:textId="3F0DBFC7" w:rsidR="000A2E02" w:rsidRPr="007C14D9" w:rsidRDefault="000A2E02" w:rsidP="00FB2AD0">
      <w:r w:rsidRPr="007C14D9">
        <w:t>In order for progress to be made on improving access to basic transaction accounts</w:t>
      </w:r>
      <w:r w:rsidR="00FC10EF">
        <w:t xml:space="preserve"> at an industry wide level</w:t>
      </w:r>
      <w:r w:rsidRPr="007C14D9">
        <w:t xml:space="preserve">, further work is required to </w:t>
      </w:r>
      <w:r w:rsidR="00AE0D66">
        <w:t>define and agree on</w:t>
      </w:r>
      <w:r w:rsidRPr="007C14D9">
        <w:t xml:space="preserve"> the features of basic transaction accounts that are both relevant in the New Zealand context and enable them to meet the needs of customers. The World Bank definition provides a useful starting point for understanding the definition and role of basic transaction accounts that could be applied in </w:t>
      </w:r>
      <w:r w:rsidR="004A4E2A">
        <w:t xml:space="preserve">Aotearoa </w:t>
      </w:r>
      <w:r w:rsidRPr="007C14D9">
        <w:t xml:space="preserve">New Zealand: </w:t>
      </w:r>
    </w:p>
    <w:p w14:paraId="33F0A671" w14:textId="6F85EE66" w:rsidR="000A2E02" w:rsidRPr="00252E3F" w:rsidRDefault="000A2E02" w:rsidP="00954C8C">
      <w:pPr>
        <w:ind w:left="360"/>
        <w:jc w:val="both"/>
        <w:rPr>
          <w:bCs/>
          <w:iCs/>
          <w:color w:val="6B2A7F" w:themeColor="accent1"/>
        </w:rPr>
      </w:pPr>
      <w:r w:rsidRPr="00252E3F">
        <w:rPr>
          <w:bCs/>
          <w:iCs/>
          <w:color w:val="6B2A7F" w:themeColor="accent1"/>
        </w:rPr>
        <w:t xml:space="preserve">A basic or simplified transaction account provides basic banking services to individuals who may have difficulty accessing traditional banking services. Basic transaction accounts are designed to meet daily banking needs of </w:t>
      </w:r>
      <w:r w:rsidR="006C0789" w:rsidRPr="00252E3F">
        <w:rPr>
          <w:bCs/>
          <w:iCs/>
          <w:color w:val="6B2A7F" w:themeColor="accent1"/>
        </w:rPr>
        <w:t>underserved</w:t>
      </w:r>
      <w:r w:rsidRPr="00252E3F">
        <w:rPr>
          <w:bCs/>
          <w:iCs/>
          <w:color w:val="6B2A7F" w:themeColor="accent1"/>
        </w:rPr>
        <w:t xml:space="preserve"> customers, be affordable for people to open and use, </w:t>
      </w:r>
      <w:r w:rsidR="00343442" w:rsidRPr="00252E3F">
        <w:rPr>
          <w:bCs/>
          <w:iCs/>
          <w:color w:val="6B2A7F" w:themeColor="accent1"/>
        </w:rPr>
        <w:t>and</w:t>
      </w:r>
      <w:r w:rsidRPr="00252E3F">
        <w:rPr>
          <w:bCs/>
          <w:iCs/>
          <w:color w:val="6B2A7F" w:themeColor="accent1"/>
        </w:rPr>
        <w:t xml:space="preserve"> have reduced functionality to enable streamlined and simplified on-boarding.</w:t>
      </w:r>
      <w:r w:rsidRPr="00252E3F">
        <w:rPr>
          <w:rStyle w:val="FootnoteReference"/>
          <w:bCs/>
          <w:iCs/>
          <w:color w:val="6B2A7F" w:themeColor="accent1"/>
        </w:rPr>
        <w:footnoteReference w:id="100"/>
      </w:r>
    </w:p>
    <w:p w14:paraId="2903AA9C" w14:textId="260AED3B" w:rsidR="000A2E02" w:rsidRPr="00FB2AD0" w:rsidRDefault="000A2E02" w:rsidP="00FB2AD0">
      <w:r w:rsidRPr="007C14D9">
        <w:t>Based on our analysis</w:t>
      </w:r>
      <w:r w:rsidR="00A2716F">
        <w:t xml:space="preserve"> of common practices internationally</w:t>
      </w:r>
      <w:r w:rsidRPr="007C14D9">
        <w:t xml:space="preserve">, we have provided a ‘starter for ten’ in Table </w:t>
      </w:r>
      <w:r w:rsidR="00C251A5">
        <w:t>6</w:t>
      </w:r>
      <w:r w:rsidRPr="007C14D9">
        <w:t xml:space="preserve"> below, which outlines </w:t>
      </w:r>
      <w:r w:rsidR="00A2716F">
        <w:t>possible</w:t>
      </w:r>
      <w:r w:rsidRPr="007C14D9">
        <w:t xml:space="preserve"> core features of a basic transaction account and </w:t>
      </w:r>
      <w:r w:rsidR="00954C8C">
        <w:t>possible</w:t>
      </w:r>
      <w:r w:rsidRPr="007C14D9">
        <w:t xml:space="preserve"> design features </w:t>
      </w:r>
      <w:r w:rsidR="00954C8C">
        <w:t>that</w:t>
      </w:r>
      <w:r w:rsidRPr="007C14D9">
        <w:t xml:space="preserve"> could vary depending </w:t>
      </w:r>
      <w:r w:rsidR="00A2716F">
        <w:t>o</w:t>
      </w:r>
      <w:r w:rsidRPr="007C14D9">
        <w:t xml:space="preserve">n decisions by entities. </w:t>
      </w:r>
    </w:p>
    <w:p w14:paraId="21D85EA1" w14:textId="4321E7BC" w:rsidR="00FB2AD0" w:rsidRDefault="00FB2AD0" w:rsidP="00FB2AD0">
      <w:pPr>
        <w:pStyle w:val="Caption"/>
      </w:pPr>
      <w:bookmarkStart w:id="63" w:name="_Toc195096985"/>
      <w:r>
        <w:lastRenderedPageBreak/>
        <w:t xml:space="preserve">Table </w:t>
      </w:r>
      <w:r w:rsidR="00C251A5">
        <w:t>6</w:t>
      </w:r>
      <w:r>
        <w:t xml:space="preserve">: </w:t>
      </w:r>
      <w:r w:rsidR="1C3289F0">
        <w:t>P</w:t>
      </w:r>
      <w:r w:rsidR="5751D6F5">
        <w:t>ossible</w:t>
      </w:r>
      <w:r w:rsidRPr="00FA7C5E">
        <w:t xml:space="preserve"> high-level design features of a basic transaction account </w:t>
      </w:r>
      <w:r w:rsidR="2190C803">
        <w:t>based on international practice</w:t>
      </w:r>
      <w:r w:rsidR="00464C52">
        <w:t>s</w:t>
      </w:r>
      <w:bookmarkEnd w:id="63"/>
    </w:p>
    <w:tbl>
      <w:tblPr>
        <w:tblStyle w:val="CoFR"/>
        <w:tblW w:w="5000" w:type="pct"/>
        <w:tblLook w:val="06A0" w:firstRow="1" w:lastRow="0" w:firstColumn="1" w:lastColumn="0" w:noHBand="1" w:noVBand="1"/>
      </w:tblPr>
      <w:tblGrid>
        <w:gridCol w:w="1029"/>
        <w:gridCol w:w="2514"/>
        <w:gridCol w:w="5527"/>
      </w:tblGrid>
      <w:tr w:rsidR="00CA736D" w:rsidRPr="00FB2AD0" w14:paraId="27E29D2D" w14:textId="77777777" w:rsidTr="00246E71">
        <w:trPr>
          <w:cnfStyle w:val="100000000000" w:firstRow="1" w:lastRow="0" w:firstColumn="0" w:lastColumn="0" w:oddVBand="0" w:evenVBand="0" w:oddHBand="0" w:evenHBand="0" w:firstRowFirstColumn="0" w:firstRowLastColumn="0" w:lastRowFirstColumn="0" w:lastRowLastColumn="0"/>
          <w:trHeight w:val="504"/>
        </w:trPr>
        <w:tc>
          <w:tcPr>
            <w:tcW w:w="567" w:type="pct"/>
          </w:tcPr>
          <w:p w14:paraId="688693FE" w14:textId="77777777" w:rsidR="00CA736D" w:rsidRPr="00FB2AD0" w:rsidRDefault="00CA736D" w:rsidP="000D4362">
            <w:pPr>
              <w:spacing w:beforeLines="0" w:afterLines="0" w:after="60"/>
            </w:pPr>
          </w:p>
        </w:tc>
        <w:tc>
          <w:tcPr>
            <w:tcW w:w="1386" w:type="pct"/>
          </w:tcPr>
          <w:p w14:paraId="439FE5E1" w14:textId="7AC16682" w:rsidR="00CA736D" w:rsidRPr="00FB2AD0" w:rsidRDefault="00CA736D" w:rsidP="000D4362">
            <w:pPr>
              <w:spacing w:beforeLines="0" w:afterLines="0" w:after="60"/>
            </w:pPr>
            <w:r w:rsidRPr="00FB2AD0">
              <w:t xml:space="preserve">Product Features </w:t>
            </w:r>
          </w:p>
        </w:tc>
        <w:tc>
          <w:tcPr>
            <w:tcW w:w="3047" w:type="pct"/>
          </w:tcPr>
          <w:p w14:paraId="6842CA38" w14:textId="65360D16" w:rsidR="00CA736D" w:rsidRPr="00FB2AD0" w:rsidRDefault="00CA736D" w:rsidP="000D4362">
            <w:pPr>
              <w:spacing w:beforeLines="0" w:afterLines="0" w:after="60"/>
            </w:pPr>
            <w:r w:rsidRPr="00FB2AD0">
              <w:t xml:space="preserve">Description </w:t>
            </w:r>
          </w:p>
        </w:tc>
      </w:tr>
      <w:tr w:rsidR="00CA736D" w:rsidRPr="00FB2AD0" w14:paraId="01513FA2" w14:textId="77777777" w:rsidTr="00246E71">
        <w:trPr>
          <w:trHeight w:val="1114"/>
        </w:trPr>
        <w:tc>
          <w:tcPr>
            <w:tcW w:w="567" w:type="pct"/>
            <w:vMerge w:val="restart"/>
          </w:tcPr>
          <w:p w14:paraId="214AFDFE" w14:textId="0333939C" w:rsidR="00CA736D" w:rsidRPr="00FB2AD0" w:rsidRDefault="00CA736D" w:rsidP="000D4362">
            <w:pPr>
              <w:keepNext/>
              <w:keepLines/>
              <w:spacing w:after="60"/>
            </w:pPr>
            <w:r w:rsidRPr="00FB2AD0">
              <w:t>Core Features</w:t>
            </w:r>
          </w:p>
        </w:tc>
        <w:tc>
          <w:tcPr>
            <w:tcW w:w="1386" w:type="pct"/>
          </w:tcPr>
          <w:p w14:paraId="53FB3552" w14:textId="1E078376" w:rsidR="00CA736D" w:rsidRPr="00FB2AD0" w:rsidRDefault="00CA736D" w:rsidP="000D4362">
            <w:pPr>
              <w:keepNext/>
              <w:keepLines/>
              <w:spacing w:after="60"/>
            </w:pPr>
            <w:r w:rsidRPr="00FB2AD0">
              <w:t>Simplified onboarding and documentation</w:t>
            </w:r>
            <w:r w:rsidRPr="00FB2AD0">
              <w:rPr>
                <w:rFonts w:ascii="Times New Roman" w:hAnsi="Times New Roman" w:cs="Times New Roman"/>
              </w:rPr>
              <w:t>​</w:t>
            </w:r>
          </w:p>
        </w:tc>
        <w:tc>
          <w:tcPr>
            <w:tcW w:w="3047" w:type="pct"/>
            <w:vMerge w:val="restart"/>
          </w:tcPr>
          <w:p w14:paraId="146DC513" w14:textId="77777777" w:rsidR="00246E71" w:rsidRDefault="00CA736D" w:rsidP="00246E71">
            <w:pPr>
              <w:keepNext/>
              <w:keepLines/>
              <w:spacing w:after="60"/>
            </w:pPr>
            <w:r w:rsidRPr="00FB2AD0">
              <w:t>This refers to different levels of documentation and verification based on the assessed risk of the account or transaction. For example, accepting fewer or alternative forms of identification for low-risk accounts, especially for underserved populations</w:t>
            </w:r>
            <w:r w:rsidR="00954C8C" w:rsidRPr="00FB2AD0">
              <w:t>.</w:t>
            </w:r>
            <w:r w:rsidR="00246E71">
              <w:t xml:space="preserve"> </w:t>
            </w:r>
          </w:p>
          <w:p w14:paraId="67396C58" w14:textId="333BB3CE" w:rsidR="005C64B6" w:rsidRPr="00FB2AD0" w:rsidRDefault="00CA736D" w:rsidP="00246E71">
            <w:pPr>
              <w:keepNext/>
              <w:keepLines/>
              <w:spacing w:after="60"/>
            </w:pPr>
            <w:r w:rsidRPr="00FB2AD0">
              <w:t>This may also include non-face-to-face account opening allowing accounts to be opened remotely, often through digital channels.</w:t>
            </w:r>
            <w:r w:rsidR="00246E71">
              <w:t xml:space="preserve"> </w:t>
            </w:r>
            <w:r w:rsidRPr="00FB2AD0">
              <w:t>Paperless record-keeping can also be adopted permitting electronic storage of customer information for certain account types.</w:t>
            </w:r>
          </w:p>
        </w:tc>
      </w:tr>
      <w:tr w:rsidR="00CA736D" w:rsidRPr="00FB2AD0" w14:paraId="0548E4BA" w14:textId="77777777" w:rsidTr="00246E71">
        <w:trPr>
          <w:trHeight w:val="1114"/>
        </w:trPr>
        <w:tc>
          <w:tcPr>
            <w:tcW w:w="567" w:type="pct"/>
            <w:vMerge/>
          </w:tcPr>
          <w:p w14:paraId="2AD0706C" w14:textId="77777777" w:rsidR="00CA736D" w:rsidRPr="00FB2AD0" w:rsidRDefault="00CA736D" w:rsidP="000D4362">
            <w:pPr>
              <w:spacing w:after="60"/>
            </w:pPr>
          </w:p>
        </w:tc>
        <w:tc>
          <w:tcPr>
            <w:tcW w:w="1386" w:type="pct"/>
          </w:tcPr>
          <w:p w14:paraId="429DC61E" w14:textId="7F7446E3" w:rsidR="00CA736D" w:rsidRPr="00FB2AD0" w:rsidRDefault="00CA736D" w:rsidP="000D4362">
            <w:pPr>
              <w:spacing w:after="60"/>
            </w:pPr>
          </w:p>
          <w:p w14:paraId="31756968" w14:textId="12D20773" w:rsidR="00CA736D" w:rsidRPr="00FB2AD0" w:rsidRDefault="00CA736D" w:rsidP="000D4362">
            <w:pPr>
              <w:spacing w:after="60"/>
            </w:pPr>
            <w:r w:rsidRPr="00FB2AD0">
              <w:t xml:space="preserve">No </w:t>
            </w:r>
            <w:r w:rsidR="00954C8C" w:rsidRPr="00FB2AD0">
              <w:t xml:space="preserve">verification or </w:t>
            </w:r>
            <w:r w:rsidRPr="00FB2AD0">
              <w:t xml:space="preserve">digital verification </w:t>
            </w:r>
            <w:r w:rsidR="00954C8C" w:rsidRPr="00FB2AD0">
              <w:t xml:space="preserve">and </w:t>
            </w:r>
            <w:r w:rsidRPr="00FB2AD0">
              <w:t>paperless record-keeping</w:t>
            </w:r>
            <w:r w:rsidRPr="00FB2AD0">
              <w:rPr>
                <w:rFonts w:ascii="Cambria" w:hAnsi="Cambria" w:cs="Cambria"/>
              </w:rPr>
              <w:t> ​</w:t>
            </w:r>
          </w:p>
        </w:tc>
        <w:tc>
          <w:tcPr>
            <w:tcW w:w="3047" w:type="pct"/>
            <w:vMerge/>
          </w:tcPr>
          <w:p w14:paraId="005984D1" w14:textId="77777777" w:rsidR="00CA736D" w:rsidRPr="00FB2AD0" w:rsidRDefault="00CA736D" w:rsidP="000D4362">
            <w:pPr>
              <w:spacing w:after="60"/>
            </w:pPr>
          </w:p>
        </w:tc>
      </w:tr>
      <w:tr w:rsidR="00CA736D" w:rsidRPr="00FB2AD0" w14:paraId="2D9E4915" w14:textId="77777777" w:rsidTr="00246E71">
        <w:trPr>
          <w:trHeight w:val="342"/>
        </w:trPr>
        <w:tc>
          <w:tcPr>
            <w:tcW w:w="567" w:type="pct"/>
            <w:vMerge/>
          </w:tcPr>
          <w:p w14:paraId="3E82E8F5" w14:textId="77777777" w:rsidR="00CA736D" w:rsidRPr="00FB2AD0" w:rsidRDefault="00CA736D" w:rsidP="000D4362">
            <w:pPr>
              <w:spacing w:after="60"/>
            </w:pPr>
          </w:p>
        </w:tc>
        <w:tc>
          <w:tcPr>
            <w:tcW w:w="1386" w:type="pct"/>
          </w:tcPr>
          <w:p w14:paraId="2502E426" w14:textId="02923D88" w:rsidR="005C64B6" w:rsidRPr="00FB2AD0" w:rsidRDefault="00425239" w:rsidP="000D4362">
            <w:pPr>
              <w:spacing w:after="60"/>
            </w:pPr>
            <w:r w:rsidRPr="00FB2AD0">
              <w:t xml:space="preserve">Transaction limits </w:t>
            </w:r>
            <w:r w:rsidR="00CC295F">
              <w:t xml:space="preserve">and/or </w:t>
            </w:r>
            <w:r w:rsidRPr="00FB2AD0">
              <w:t>b</w:t>
            </w:r>
            <w:r w:rsidR="005C64B6" w:rsidRPr="00FB2AD0">
              <w:t>alance caps</w:t>
            </w:r>
          </w:p>
        </w:tc>
        <w:tc>
          <w:tcPr>
            <w:tcW w:w="3047" w:type="pct"/>
          </w:tcPr>
          <w:p w14:paraId="7AF7456B" w14:textId="176AE8BD" w:rsidR="005C64B6" w:rsidRPr="00FB2AD0" w:rsidRDefault="00CA736D" w:rsidP="000D4362">
            <w:pPr>
              <w:spacing w:after="60"/>
            </w:pPr>
            <w:r w:rsidRPr="00FB2AD0">
              <w:t>This refers to transaction limits capping daily value and volume of transactions</w:t>
            </w:r>
            <w:r w:rsidR="00DA5CED">
              <w:t>, and</w:t>
            </w:r>
            <w:r w:rsidRPr="00FB2AD0">
              <w:t xml:space="preserve"> maximum account balance</w:t>
            </w:r>
            <w:r w:rsidR="00DA5CED">
              <w:t>s that can</w:t>
            </w:r>
            <w:r w:rsidRPr="00FB2AD0">
              <w:t xml:space="preserve"> mitigate potential </w:t>
            </w:r>
            <w:r w:rsidR="005C64B6" w:rsidRPr="00FB2AD0">
              <w:t>A</w:t>
            </w:r>
            <w:r w:rsidRPr="00FB2AD0">
              <w:t>ML/</w:t>
            </w:r>
            <w:r w:rsidR="005C64B6" w:rsidRPr="00FB2AD0">
              <w:t>CFT</w:t>
            </w:r>
            <w:r w:rsidRPr="00FB2AD0">
              <w:t xml:space="preserve"> risks.</w:t>
            </w:r>
          </w:p>
        </w:tc>
      </w:tr>
      <w:tr w:rsidR="00CA736D" w:rsidRPr="00FB2AD0" w14:paraId="3082C8A3" w14:textId="77777777" w:rsidTr="00246E71">
        <w:trPr>
          <w:trHeight w:val="342"/>
        </w:trPr>
        <w:tc>
          <w:tcPr>
            <w:tcW w:w="567" w:type="pct"/>
            <w:vMerge/>
          </w:tcPr>
          <w:p w14:paraId="3355EEDC" w14:textId="77777777" w:rsidR="00CA736D" w:rsidRPr="00FB2AD0" w:rsidRDefault="00CA736D" w:rsidP="000D4362">
            <w:pPr>
              <w:spacing w:after="60"/>
            </w:pPr>
          </w:p>
        </w:tc>
        <w:tc>
          <w:tcPr>
            <w:tcW w:w="1386" w:type="pct"/>
          </w:tcPr>
          <w:p w14:paraId="2C668033" w14:textId="66F779C3" w:rsidR="00CA736D" w:rsidRPr="00FB2AD0" w:rsidRDefault="00CA736D" w:rsidP="000D4362">
            <w:pPr>
              <w:spacing w:after="60"/>
            </w:pPr>
            <w:r w:rsidRPr="00FB2AD0">
              <w:rPr>
                <w:rFonts w:ascii="Times New Roman" w:hAnsi="Times New Roman" w:cs="Times New Roman"/>
              </w:rPr>
              <w:t>​</w:t>
            </w:r>
            <w:r w:rsidRPr="00FB2AD0">
              <w:t>No</w:t>
            </w:r>
            <w:r w:rsidRPr="00FB2AD0">
              <w:rPr>
                <w:rFonts w:ascii="Cambria" w:hAnsi="Cambria" w:cs="Cambria"/>
              </w:rPr>
              <w:t> </w:t>
            </w:r>
            <w:r w:rsidRPr="00FB2AD0">
              <w:t>cost / removal of fees</w:t>
            </w:r>
            <w:r w:rsidRPr="00FB2AD0">
              <w:rPr>
                <w:rFonts w:ascii="Times New Roman" w:hAnsi="Times New Roman" w:cs="Times New Roman"/>
              </w:rPr>
              <w:t>​</w:t>
            </w:r>
            <w:r w:rsidR="00252E3F">
              <w:rPr>
                <w:rFonts w:ascii="Times New Roman" w:hAnsi="Times New Roman" w:cs="Times New Roman"/>
              </w:rPr>
              <w:t xml:space="preserve"> </w:t>
            </w:r>
            <w:r w:rsidRPr="00FB2AD0">
              <w:t>/ low cost</w:t>
            </w:r>
          </w:p>
        </w:tc>
        <w:tc>
          <w:tcPr>
            <w:tcW w:w="3047" w:type="pct"/>
          </w:tcPr>
          <w:p w14:paraId="7350E8A2" w14:textId="382349A8" w:rsidR="005C64B6" w:rsidRPr="00FB2AD0" w:rsidRDefault="00CA736D" w:rsidP="000D4362">
            <w:pPr>
              <w:spacing w:after="60"/>
            </w:pPr>
            <w:r w:rsidRPr="00FB2AD0">
              <w:t>Basic transaction accounts are generally offered at no or low fees compared to standard accounts, making it affordable for low income or underserved population</w:t>
            </w:r>
            <w:r w:rsidR="00DA5CED">
              <w:t>s</w:t>
            </w:r>
            <w:r w:rsidRPr="00FB2AD0">
              <w:t>.</w:t>
            </w:r>
          </w:p>
        </w:tc>
      </w:tr>
      <w:tr w:rsidR="00CA736D" w:rsidRPr="00FB2AD0" w14:paraId="74EE0273" w14:textId="77777777" w:rsidTr="00246E71">
        <w:trPr>
          <w:trHeight w:val="342"/>
        </w:trPr>
        <w:tc>
          <w:tcPr>
            <w:tcW w:w="567" w:type="pct"/>
            <w:vMerge/>
          </w:tcPr>
          <w:p w14:paraId="166943AA" w14:textId="77777777" w:rsidR="00CA736D" w:rsidRPr="00FB2AD0" w:rsidRDefault="00CA736D" w:rsidP="000D4362">
            <w:pPr>
              <w:spacing w:after="60"/>
            </w:pPr>
          </w:p>
        </w:tc>
        <w:tc>
          <w:tcPr>
            <w:tcW w:w="1386" w:type="pct"/>
          </w:tcPr>
          <w:p w14:paraId="2457E970" w14:textId="5B2A08EB" w:rsidR="00CA736D" w:rsidRPr="00FB2AD0" w:rsidRDefault="00CA736D" w:rsidP="000D4362">
            <w:pPr>
              <w:spacing w:after="60"/>
            </w:pPr>
            <w:r w:rsidRPr="00FB2AD0">
              <w:t>No debt / overdraft</w:t>
            </w:r>
          </w:p>
        </w:tc>
        <w:tc>
          <w:tcPr>
            <w:tcW w:w="3047" w:type="pct"/>
          </w:tcPr>
          <w:p w14:paraId="5BA32775" w14:textId="10F433E1" w:rsidR="005C64B6" w:rsidRPr="00FB2AD0" w:rsidRDefault="00CA736D" w:rsidP="000D4362">
            <w:pPr>
              <w:spacing w:after="60"/>
            </w:pPr>
            <w:r w:rsidRPr="00FB2AD0">
              <w:t xml:space="preserve">This avoids an overdraft feature, which prevents customers from spending more money than they have in their account. </w:t>
            </w:r>
            <w:r w:rsidR="005C64B6" w:rsidRPr="00FB2AD0">
              <w:t>As a result,</w:t>
            </w:r>
            <w:r w:rsidRPr="00FB2AD0">
              <w:t xml:space="preserve"> </w:t>
            </w:r>
            <w:r w:rsidR="00DA5CED">
              <w:t>customers are not able to</w:t>
            </w:r>
            <w:r w:rsidRPr="00FB2AD0">
              <w:t xml:space="preserve"> </w:t>
            </w:r>
            <w:r w:rsidR="00252E3F" w:rsidRPr="00FB2AD0">
              <w:t>incur</w:t>
            </w:r>
            <w:r w:rsidRPr="00FB2AD0">
              <w:t xml:space="preserve"> debt from overspending</w:t>
            </w:r>
            <w:r w:rsidR="00DA5CED">
              <w:t xml:space="preserve">, </w:t>
            </w:r>
            <w:r w:rsidR="00D45BDA">
              <w:t>mitigating</w:t>
            </w:r>
            <w:r w:rsidR="00DA5CED">
              <w:t xml:space="preserve"> credit risk</w:t>
            </w:r>
            <w:r w:rsidR="00D45BDA">
              <w:t>s</w:t>
            </w:r>
            <w:r w:rsidR="00DA5CED">
              <w:t xml:space="preserve"> for these accounts</w:t>
            </w:r>
            <w:r w:rsidRPr="00FB2AD0">
              <w:t xml:space="preserve">. </w:t>
            </w:r>
          </w:p>
        </w:tc>
      </w:tr>
      <w:tr w:rsidR="00CA736D" w:rsidRPr="00FB2AD0" w14:paraId="26FC1CED" w14:textId="77777777" w:rsidTr="00246E71">
        <w:trPr>
          <w:trHeight w:val="342"/>
        </w:trPr>
        <w:tc>
          <w:tcPr>
            <w:tcW w:w="567" w:type="pct"/>
            <w:vMerge/>
          </w:tcPr>
          <w:p w14:paraId="332D4EEA" w14:textId="77777777" w:rsidR="00CA736D" w:rsidRPr="00FB2AD0" w:rsidRDefault="00CA736D" w:rsidP="000D4362">
            <w:pPr>
              <w:spacing w:after="60"/>
            </w:pPr>
          </w:p>
        </w:tc>
        <w:tc>
          <w:tcPr>
            <w:tcW w:w="1386" w:type="pct"/>
          </w:tcPr>
          <w:p w14:paraId="217C57ED" w14:textId="0B5C21A4" w:rsidR="00CA736D" w:rsidRPr="00FB2AD0" w:rsidRDefault="00CA736D" w:rsidP="000D4362">
            <w:pPr>
              <w:spacing w:after="60"/>
            </w:pPr>
            <w:r w:rsidRPr="00FB2AD0">
              <w:t>No time limit or forced migrations to standard accounts</w:t>
            </w:r>
            <w:r w:rsidRPr="00FB2AD0">
              <w:rPr>
                <w:rFonts w:ascii="Cambria" w:hAnsi="Cambria" w:cs="Cambria"/>
              </w:rPr>
              <w:t> ​</w:t>
            </w:r>
          </w:p>
        </w:tc>
        <w:tc>
          <w:tcPr>
            <w:tcW w:w="3047" w:type="pct"/>
          </w:tcPr>
          <w:p w14:paraId="3A45E8AE" w14:textId="0F41D0CC" w:rsidR="00954C8C" w:rsidRPr="00FB2AD0" w:rsidRDefault="00CA736D" w:rsidP="000D4362">
            <w:pPr>
              <w:spacing w:after="60"/>
            </w:pPr>
            <w:r w:rsidRPr="00FB2AD0">
              <w:t>Basic transaction account is offered to the eligible customer for an indefinite period, unless requested by the customer to</w:t>
            </w:r>
            <w:r w:rsidR="005C64B6" w:rsidRPr="00FB2AD0">
              <w:t xml:space="preserve"> close the account or</w:t>
            </w:r>
            <w:r w:rsidRPr="00FB2AD0">
              <w:t xml:space="preserve"> move to the standard account due to change in need. </w:t>
            </w:r>
          </w:p>
        </w:tc>
      </w:tr>
      <w:tr w:rsidR="003C0DB5" w:rsidRPr="00FB2AD0" w14:paraId="29D0D6A4" w14:textId="77777777" w:rsidTr="00246E71">
        <w:trPr>
          <w:trHeight w:val="342"/>
        </w:trPr>
        <w:tc>
          <w:tcPr>
            <w:tcW w:w="567" w:type="pct"/>
            <w:vMerge/>
          </w:tcPr>
          <w:p w14:paraId="448D9DE1" w14:textId="77777777" w:rsidR="003C0DB5" w:rsidRPr="00FB2AD0" w:rsidRDefault="003C0DB5" w:rsidP="000D4362">
            <w:pPr>
              <w:spacing w:after="60"/>
            </w:pPr>
          </w:p>
        </w:tc>
        <w:tc>
          <w:tcPr>
            <w:tcW w:w="1386" w:type="pct"/>
          </w:tcPr>
          <w:p w14:paraId="07EE9AE1" w14:textId="45D47D32" w:rsidR="003C0DB5" w:rsidRPr="00FB2AD0" w:rsidRDefault="003C0DB5" w:rsidP="000D4362">
            <w:pPr>
              <w:spacing w:after="60"/>
            </w:pPr>
            <w:r>
              <w:t>Refusal process</w:t>
            </w:r>
          </w:p>
        </w:tc>
        <w:tc>
          <w:tcPr>
            <w:tcW w:w="3047" w:type="pct"/>
          </w:tcPr>
          <w:p w14:paraId="67B870EB" w14:textId="4DA6F4D1" w:rsidR="003C0DB5" w:rsidRPr="00FB2AD0" w:rsidRDefault="003C0DB5" w:rsidP="000D4362">
            <w:pPr>
              <w:spacing w:after="60"/>
            </w:pPr>
            <w:r>
              <w:t>Entities are able to decline a customers</w:t>
            </w:r>
            <w:r w:rsidR="00B2447A">
              <w:t>’</w:t>
            </w:r>
            <w:r>
              <w:t xml:space="preserve"> application for a basic transaction account, </w:t>
            </w:r>
            <w:r w:rsidR="004C6B0D">
              <w:t>but</w:t>
            </w:r>
            <w:r>
              <w:t xml:space="preserve"> with </w:t>
            </w:r>
            <w:r w:rsidR="004C6B0D">
              <w:t xml:space="preserve">formal </w:t>
            </w:r>
            <w:r>
              <w:t xml:space="preserve">reporting on the reason for </w:t>
            </w:r>
            <w:r w:rsidR="004C6B0D">
              <w:t xml:space="preserve">the </w:t>
            </w:r>
            <w:r>
              <w:t xml:space="preserve">refusal </w:t>
            </w:r>
            <w:r w:rsidR="004C6B0D">
              <w:t xml:space="preserve">to a financial regulator </w:t>
            </w:r>
            <w:r w:rsidR="00B2447A">
              <w:t>(for example, violent or aggressive customer behaviour).</w:t>
            </w:r>
            <w:r>
              <w:t xml:space="preserve"> </w:t>
            </w:r>
          </w:p>
        </w:tc>
      </w:tr>
      <w:tr w:rsidR="00CA736D" w:rsidRPr="00FB2AD0" w14:paraId="7704762A" w14:textId="77777777" w:rsidTr="00246E71">
        <w:trPr>
          <w:trHeight w:val="342"/>
        </w:trPr>
        <w:tc>
          <w:tcPr>
            <w:tcW w:w="567" w:type="pct"/>
            <w:vMerge w:val="restart"/>
          </w:tcPr>
          <w:p w14:paraId="1240B4A2" w14:textId="03B333A8" w:rsidR="00CA736D" w:rsidRPr="00FB2AD0" w:rsidRDefault="00CA736D" w:rsidP="000D4362">
            <w:pPr>
              <w:spacing w:after="60"/>
            </w:pPr>
            <w:r w:rsidRPr="00FB2AD0">
              <w:t>Optional features (business decision)</w:t>
            </w:r>
            <w:r w:rsidRPr="00FB2AD0">
              <w:rPr>
                <w:rFonts w:ascii="Cambria Math" w:hAnsi="Cambria Math" w:cs="Cambria Math"/>
              </w:rPr>
              <w:t>​</w:t>
            </w:r>
          </w:p>
        </w:tc>
        <w:tc>
          <w:tcPr>
            <w:tcW w:w="1386" w:type="pct"/>
          </w:tcPr>
          <w:p w14:paraId="52468B90" w14:textId="1C16A147" w:rsidR="00CA736D" w:rsidRPr="00FB2AD0" w:rsidRDefault="00CA736D" w:rsidP="000D4362">
            <w:pPr>
              <w:spacing w:after="60"/>
            </w:pPr>
            <w:r w:rsidRPr="00FB2AD0">
              <w:t>Payment of interest</w:t>
            </w:r>
            <w:r w:rsidRPr="00FB2AD0">
              <w:rPr>
                <w:rFonts w:ascii="Cambria" w:hAnsi="Cambria" w:cs="Cambria"/>
              </w:rPr>
              <w:t> ​</w:t>
            </w:r>
          </w:p>
        </w:tc>
        <w:tc>
          <w:tcPr>
            <w:tcW w:w="3047" w:type="pct"/>
          </w:tcPr>
          <w:p w14:paraId="7764F47E" w14:textId="62A725BD" w:rsidR="00CA736D" w:rsidRPr="00FB2AD0" w:rsidRDefault="005C64B6" w:rsidP="000D4362">
            <w:pPr>
              <w:spacing w:after="60"/>
            </w:pPr>
            <w:r w:rsidRPr="00FB2AD0">
              <w:t>Option to p</w:t>
            </w:r>
            <w:r w:rsidR="00CA736D" w:rsidRPr="00FB2AD0">
              <w:t>ermit or restrict interest earnings on the balances (tag as interest bearing account)</w:t>
            </w:r>
          </w:p>
        </w:tc>
      </w:tr>
      <w:tr w:rsidR="00CA736D" w:rsidRPr="00FB2AD0" w14:paraId="01993BE5" w14:textId="77777777" w:rsidTr="00246E71">
        <w:trPr>
          <w:trHeight w:val="342"/>
        </w:trPr>
        <w:tc>
          <w:tcPr>
            <w:tcW w:w="567" w:type="pct"/>
            <w:vMerge/>
          </w:tcPr>
          <w:p w14:paraId="194D2A68" w14:textId="77777777" w:rsidR="00CA736D" w:rsidRPr="00FB2AD0" w:rsidRDefault="00CA736D" w:rsidP="000D4362">
            <w:pPr>
              <w:spacing w:after="60"/>
            </w:pPr>
          </w:p>
        </w:tc>
        <w:tc>
          <w:tcPr>
            <w:tcW w:w="1386" w:type="pct"/>
          </w:tcPr>
          <w:p w14:paraId="40609CF1" w14:textId="53119D60" w:rsidR="00CA736D" w:rsidRPr="00FB2AD0" w:rsidRDefault="00CA736D" w:rsidP="000D4362">
            <w:pPr>
              <w:spacing w:after="60"/>
            </w:pPr>
            <w:r w:rsidRPr="00FB2AD0">
              <w:t>Access point (</w:t>
            </w:r>
            <w:r w:rsidR="005C64B6" w:rsidRPr="00FB2AD0">
              <w:t xml:space="preserve">e.g. </w:t>
            </w:r>
            <w:r w:rsidRPr="00FB2AD0">
              <w:t>online banking access</w:t>
            </w:r>
            <w:r w:rsidR="005C64B6" w:rsidRPr="00FB2AD0">
              <w:t xml:space="preserve"> vs</w:t>
            </w:r>
            <w:r w:rsidRPr="00FB2AD0">
              <w:rPr>
                <w:rFonts w:ascii="Cambria" w:hAnsi="Cambria" w:cs="Cambria"/>
              </w:rPr>
              <w:t> </w:t>
            </w:r>
            <w:r w:rsidRPr="00FB2AD0">
              <w:t>in person)</w:t>
            </w:r>
            <w:r w:rsidRPr="00FB2AD0">
              <w:rPr>
                <w:rFonts w:ascii="Times New Roman" w:hAnsi="Times New Roman" w:cs="Times New Roman"/>
              </w:rPr>
              <w:t>​</w:t>
            </w:r>
          </w:p>
        </w:tc>
        <w:tc>
          <w:tcPr>
            <w:tcW w:w="3047" w:type="pct"/>
          </w:tcPr>
          <w:p w14:paraId="55719620" w14:textId="18F40B3A" w:rsidR="00CA736D" w:rsidRPr="00FB2AD0" w:rsidRDefault="005C64B6" w:rsidP="000D4362">
            <w:pPr>
              <w:spacing w:after="60"/>
            </w:pPr>
            <w:r w:rsidRPr="00FB2AD0">
              <w:t>Option to permit</w:t>
            </w:r>
            <w:r w:rsidR="00CA736D" w:rsidRPr="00FB2AD0">
              <w:t xml:space="preserve"> or restrict access to the basic transaction account through various channels – internet banking, mobile banking, cards, in-person, etc. </w:t>
            </w:r>
          </w:p>
        </w:tc>
      </w:tr>
      <w:tr w:rsidR="00CA736D" w:rsidRPr="00FB2AD0" w14:paraId="214A6A4C" w14:textId="77777777" w:rsidTr="00246E71">
        <w:trPr>
          <w:trHeight w:val="342"/>
        </w:trPr>
        <w:tc>
          <w:tcPr>
            <w:tcW w:w="567" w:type="pct"/>
            <w:vMerge/>
          </w:tcPr>
          <w:p w14:paraId="508EF219" w14:textId="77777777" w:rsidR="00CA736D" w:rsidRPr="00FB2AD0" w:rsidRDefault="00CA736D" w:rsidP="000D4362">
            <w:pPr>
              <w:spacing w:after="60"/>
            </w:pPr>
          </w:p>
        </w:tc>
        <w:tc>
          <w:tcPr>
            <w:tcW w:w="1386" w:type="pct"/>
          </w:tcPr>
          <w:p w14:paraId="16EA7EBA" w14:textId="1B1BABCA" w:rsidR="00CA736D" w:rsidRPr="00FB2AD0" w:rsidRDefault="00CA736D" w:rsidP="000D4362">
            <w:pPr>
              <w:spacing w:after="60"/>
            </w:pPr>
            <w:r w:rsidRPr="00FB2AD0">
              <w:t>Gambling restrictions</w:t>
            </w:r>
            <w:r w:rsidRPr="00FB2AD0">
              <w:rPr>
                <w:rFonts w:ascii="Cambria" w:hAnsi="Cambria" w:cs="Cambria"/>
              </w:rPr>
              <w:t> ​</w:t>
            </w:r>
          </w:p>
        </w:tc>
        <w:tc>
          <w:tcPr>
            <w:tcW w:w="3047" w:type="pct"/>
          </w:tcPr>
          <w:p w14:paraId="3D0C70A6" w14:textId="12A421A7" w:rsidR="00CA736D" w:rsidRPr="00FB2AD0" w:rsidRDefault="005C64B6" w:rsidP="000D4362">
            <w:pPr>
              <w:spacing w:after="60"/>
            </w:pPr>
            <w:r w:rsidRPr="00FB2AD0">
              <w:t>Option to r</w:t>
            </w:r>
            <w:r w:rsidR="00CA736D" w:rsidRPr="00FB2AD0">
              <w:t>estrict transactions on basic transaction accounts such as gambling.</w:t>
            </w:r>
          </w:p>
        </w:tc>
      </w:tr>
      <w:tr w:rsidR="00CA736D" w:rsidRPr="00FB2AD0" w14:paraId="11B00669" w14:textId="77777777" w:rsidTr="00246E71">
        <w:trPr>
          <w:trHeight w:val="342"/>
        </w:trPr>
        <w:tc>
          <w:tcPr>
            <w:tcW w:w="567" w:type="pct"/>
            <w:vMerge/>
          </w:tcPr>
          <w:p w14:paraId="427EFBFB" w14:textId="77777777" w:rsidR="00CA736D" w:rsidRPr="00FB2AD0" w:rsidRDefault="00CA736D" w:rsidP="000D4362">
            <w:pPr>
              <w:spacing w:after="60"/>
            </w:pPr>
          </w:p>
        </w:tc>
        <w:tc>
          <w:tcPr>
            <w:tcW w:w="1386" w:type="pct"/>
          </w:tcPr>
          <w:p w14:paraId="1C95B5E9" w14:textId="09130722" w:rsidR="00CA736D" w:rsidRPr="00FB2AD0" w:rsidRDefault="00475913" w:rsidP="000D4362">
            <w:pPr>
              <w:spacing w:after="60"/>
            </w:pPr>
            <w:r w:rsidRPr="00FB2AD0">
              <w:t>Online payments</w:t>
            </w:r>
            <w:r w:rsidR="00CA736D" w:rsidRPr="00FB2AD0">
              <w:rPr>
                <w:rFonts w:ascii="Times New Roman" w:hAnsi="Times New Roman" w:cs="Times New Roman"/>
              </w:rPr>
              <w:t>​</w:t>
            </w:r>
            <w:r w:rsidR="00CA736D" w:rsidRPr="00FB2AD0">
              <w:t xml:space="preserve"> </w:t>
            </w:r>
            <w:r w:rsidR="00CA736D" w:rsidRPr="00FB2AD0">
              <w:rPr>
                <w:rFonts w:ascii="Times New Roman" w:hAnsi="Times New Roman" w:cs="Times New Roman"/>
              </w:rPr>
              <w:t>​</w:t>
            </w:r>
          </w:p>
        </w:tc>
        <w:tc>
          <w:tcPr>
            <w:tcW w:w="3047" w:type="pct"/>
          </w:tcPr>
          <w:p w14:paraId="36706A6F" w14:textId="3A055D32" w:rsidR="00CA736D" w:rsidRPr="00FB2AD0" w:rsidRDefault="005C64B6" w:rsidP="000D4362">
            <w:pPr>
              <w:spacing w:after="60"/>
            </w:pPr>
            <w:r w:rsidRPr="00FB2AD0">
              <w:t xml:space="preserve">Option to permit </w:t>
            </w:r>
            <w:r w:rsidR="00CA736D" w:rsidRPr="00FB2AD0">
              <w:t xml:space="preserve">or restrict account linked to </w:t>
            </w:r>
            <w:r w:rsidR="00475913" w:rsidRPr="00FB2AD0">
              <w:t xml:space="preserve">online payment services via </w:t>
            </w:r>
            <w:r w:rsidR="00CA736D" w:rsidRPr="00FB2AD0">
              <w:t>a debit card.</w:t>
            </w:r>
          </w:p>
        </w:tc>
      </w:tr>
      <w:tr w:rsidR="00CA736D" w:rsidRPr="00FB2AD0" w14:paraId="3323EACD" w14:textId="77777777" w:rsidTr="00246E71">
        <w:trPr>
          <w:trHeight w:val="342"/>
        </w:trPr>
        <w:tc>
          <w:tcPr>
            <w:tcW w:w="567" w:type="pct"/>
            <w:vMerge/>
          </w:tcPr>
          <w:p w14:paraId="03A23FBB" w14:textId="77777777" w:rsidR="00CA736D" w:rsidRPr="00FB2AD0" w:rsidRDefault="00CA736D" w:rsidP="000D4362">
            <w:pPr>
              <w:spacing w:after="60"/>
            </w:pPr>
          </w:p>
        </w:tc>
        <w:tc>
          <w:tcPr>
            <w:tcW w:w="1386" w:type="pct"/>
          </w:tcPr>
          <w:p w14:paraId="02739957" w14:textId="4C3756FD" w:rsidR="00CA736D" w:rsidRPr="00FB2AD0" w:rsidRDefault="00CA736D" w:rsidP="000D4362">
            <w:pPr>
              <w:spacing w:after="60"/>
            </w:pPr>
            <w:r w:rsidRPr="00FB2AD0">
              <w:t>Paper/physical statements</w:t>
            </w:r>
            <w:r w:rsidRPr="00FB2AD0">
              <w:rPr>
                <w:rFonts w:ascii="Cambria" w:hAnsi="Cambria" w:cs="Cambria"/>
              </w:rPr>
              <w:t> ​</w:t>
            </w:r>
          </w:p>
        </w:tc>
        <w:tc>
          <w:tcPr>
            <w:tcW w:w="3047" w:type="pct"/>
          </w:tcPr>
          <w:p w14:paraId="27CE5F1F" w14:textId="07B14C15" w:rsidR="00CA736D" w:rsidRPr="00FB2AD0" w:rsidRDefault="005C64B6" w:rsidP="000D4362">
            <w:pPr>
              <w:spacing w:after="60"/>
            </w:pPr>
            <w:r w:rsidRPr="00FB2AD0">
              <w:t>Option to r</w:t>
            </w:r>
            <w:r w:rsidR="00CA736D" w:rsidRPr="00FB2AD0">
              <w:t xml:space="preserve">estrict statement printouts on periodic basis (annually only) or otherwise. </w:t>
            </w:r>
          </w:p>
        </w:tc>
      </w:tr>
      <w:tr w:rsidR="00CA736D" w:rsidRPr="00FB2AD0" w14:paraId="4961BBDF" w14:textId="77777777" w:rsidTr="00246E71">
        <w:trPr>
          <w:trHeight w:val="342"/>
        </w:trPr>
        <w:tc>
          <w:tcPr>
            <w:tcW w:w="567" w:type="pct"/>
            <w:vMerge/>
          </w:tcPr>
          <w:p w14:paraId="04F1066C" w14:textId="77777777" w:rsidR="00CA736D" w:rsidRPr="00FB2AD0" w:rsidRDefault="00CA736D" w:rsidP="000D4362">
            <w:pPr>
              <w:spacing w:after="60"/>
            </w:pPr>
          </w:p>
        </w:tc>
        <w:tc>
          <w:tcPr>
            <w:tcW w:w="1386" w:type="pct"/>
          </w:tcPr>
          <w:p w14:paraId="2D8FFD74" w14:textId="632C2105" w:rsidR="00CA736D" w:rsidRPr="00FB2AD0" w:rsidRDefault="00CA736D" w:rsidP="000D4362">
            <w:pPr>
              <w:spacing w:after="60"/>
            </w:pPr>
            <w:r w:rsidRPr="00FB2AD0">
              <w:t xml:space="preserve">Direct debit and automatic payment functionality </w:t>
            </w:r>
            <w:r w:rsidRPr="00FB2AD0">
              <w:rPr>
                <w:rFonts w:ascii="Times New Roman" w:hAnsi="Times New Roman" w:cs="Times New Roman"/>
              </w:rPr>
              <w:t>​</w:t>
            </w:r>
          </w:p>
        </w:tc>
        <w:tc>
          <w:tcPr>
            <w:tcW w:w="3047" w:type="pct"/>
          </w:tcPr>
          <w:p w14:paraId="07FB2908" w14:textId="675FD53C" w:rsidR="00CA736D" w:rsidRPr="00FB2AD0" w:rsidRDefault="005C64B6" w:rsidP="000D4362">
            <w:pPr>
              <w:spacing w:after="60"/>
            </w:pPr>
            <w:r w:rsidRPr="00FB2AD0">
              <w:t>Option to permit</w:t>
            </w:r>
            <w:r w:rsidR="00CA736D" w:rsidRPr="00FB2AD0">
              <w:t xml:space="preserve"> or restrict direct debit features on basic transaction account to manage regular payments. </w:t>
            </w:r>
          </w:p>
        </w:tc>
      </w:tr>
    </w:tbl>
    <w:p w14:paraId="302C12CA" w14:textId="522E1835" w:rsidR="00252E3F" w:rsidRDefault="000A2E02" w:rsidP="00FB2AD0">
      <w:r w:rsidRPr="007C14D9">
        <w:lastRenderedPageBreak/>
        <w:t>We are seeking feedback and input from the industry and the public on a possible definition and design features for a basic transaction account</w:t>
      </w:r>
      <w:r w:rsidR="005C64B6">
        <w:t xml:space="preserve"> as outlined above. </w:t>
      </w:r>
    </w:p>
    <w:tbl>
      <w:tblPr>
        <w:tblStyle w:val="Questions"/>
        <w:tblW w:w="0" w:type="auto"/>
        <w:tblLook w:val="0600" w:firstRow="0" w:lastRow="0" w:firstColumn="0" w:lastColumn="0" w:noHBand="1" w:noVBand="1"/>
      </w:tblPr>
      <w:tblGrid>
        <w:gridCol w:w="9060"/>
      </w:tblGrid>
      <w:tr w:rsidR="00FB2AD0" w14:paraId="1FE83FBC" w14:textId="77777777" w:rsidTr="00517456">
        <w:tc>
          <w:tcPr>
            <w:tcW w:w="9060" w:type="dxa"/>
          </w:tcPr>
          <w:p w14:paraId="19293EAE" w14:textId="0B1F3B43" w:rsidR="00FB2AD0" w:rsidRDefault="00FB2AD0" w:rsidP="00FB2AD0">
            <w:pPr>
              <w:pStyle w:val="HighlightSectionCaseStudyHeading"/>
            </w:pPr>
            <w:r w:rsidRPr="005C64B6">
              <w:t>Questions for engagement</w:t>
            </w:r>
            <w:r>
              <w:t>:</w:t>
            </w:r>
          </w:p>
          <w:p w14:paraId="0119CFFE" w14:textId="77777777" w:rsidR="0032134C" w:rsidRPr="006C37A9" w:rsidRDefault="0032134C" w:rsidP="0032134C">
            <w:pPr>
              <w:pStyle w:val="ListNumber"/>
              <w:numPr>
                <w:ilvl w:val="0"/>
                <w:numId w:val="12"/>
              </w:numPr>
            </w:pPr>
            <w:r w:rsidRPr="38F32CE0">
              <w:t xml:space="preserve">Do you agree with the definition of a </w:t>
            </w:r>
            <w:r w:rsidRPr="0032134C">
              <w:rPr>
                <w:i/>
                <w:iCs/>
              </w:rPr>
              <w:t>basic transaction account</w:t>
            </w:r>
            <w:r w:rsidRPr="38F32CE0">
              <w:t xml:space="preserve"> used in this Issues Paper?</w:t>
            </w:r>
          </w:p>
          <w:p w14:paraId="27BFD951" w14:textId="57E446C4" w:rsidR="0032134C" w:rsidRDefault="0032134C" w:rsidP="0032134C">
            <w:pPr>
              <w:pStyle w:val="ListNumber"/>
              <w:numPr>
                <w:ilvl w:val="0"/>
                <w:numId w:val="12"/>
              </w:numPr>
            </w:pPr>
            <w:r w:rsidRPr="00C50CA2">
              <w:t>What features do you think a basic transaction account should have?</w:t>
            </w:r>
            <w:r>
              <w:t xml:space="preserve"> </w:t>
            </w:r>
          </w:p>
          <w:p w14:paraId="4CE2091A" w14:textId="77777777" w:rsidR="00FB2AD0" w:rsidRPr="00340E5D" w:rsidRDefault="00FB2AD0" w:rsidP="00FB2AD0">
            <w:pPr>
              <w:pStyle w:val="HighlightSectionCaseStudyHeading"/>
            </w:pPr>
            <w:r w:rsidRPr="00340E5D">
              <w:t>Question</w:t>
            </w:r>
            <w:r>
              <w:t>s</w:t>
            </w:r>
            <w:r w:rsidRPr="00340E5D">
              <w:t xml:space="preserve"> for deposit takers</w:t>
            </w:r>
            <w:r>
              <w:t>:</w:t>
            </w:r>
          </w:p>
          <w:p w14:paraId="16841299" w14:textId="1DC7500D" w:rsidR="00FB2AD0" w:rsidRPr="00517456" w:rsidRDefault="00910674" w:rsidP="0032134C">
            <w:pPr>
              <w:pStyle w:val="ListNumber"/>
              <w:numPr>
                <w:ilvl w:val="0"/>
                <w:numId w:val="12"/>
              </w:numPr>
            </w:pPr>
            <w:r>
              <w:t xml:space="preserve">Could </w:t>
            </w:r>
            <w:r w:rsidR="00E05685">
              <w:t>your entity</w:t>
            </w:r>
            <w:r w:rsidR="00FB2AD0" w:rsidRPr="00517456">
              <w:t xml:space="preserve"> deploy the controls and design features to have a ‘ring fenced’ basic transaction account, for example, un-bundling transaction services from overdraft products, and limits on the amount of money coming in and out of accounts?</w:t>
            </w:r>
            <w:r w:rsidR="0008381D">
              <w:t xml:space="preserve"> </w:t>
            </w:r>
          </w:p>
          <w:p w14:paraId="15904D5F" w14:textId="0256BFCB" w:rsidR="00052537" w:rsidRPr="00517456" w:rsidRDefault="00052537" w:rsidP="0032134C">
            <w:pPr>
              <w:pStyle w:val="ListNumber"/>
              <w:numPr>
                <w:ilvl w:val="0"/>
                <w:numId w:val="12"/>
              </w:numPr>
            </w:pPr>
            <w:r>
              <w:t>Could you</w:t>
            </w:r>
            <w:r w:rsidR="00F55BE4">
              <w:t>r</w:t>
            </w:r>
            <w:r>
              <w:t xml:space="preserve"> entity measure and report on access to transaction accounts, including the number of applications </w:t>
            </w:r>
            <w:r w:rsidR="00F55BE4">
              <w:t xml:space="preserve">for </w:t>
            </w:r>
            <w:r>
              <w:t xml:space="preserve">a transaction account </w:t>
            </w:r>
            <w:r w:rsidR="00F55BE4">
              <w:t>that are declined</w:t>
            </w:r>
            <w:r w:rsidR="006D1947">
              <w:t xml:space="preserve"> and the reason(s) for the decline</w:t>
            </w:r>
            <w:r w:rsidR="00F55BE4">
              <w:t xml:space="preserve"> on an annual basis</w:t>
            </w:r>
            <w:r w:rsidR="00AC02AE">
              <w:t xml:space="preserve">? </w:t>
            </w:r>
          </w:p>
          <w:p w14:paraId="61E6AC4F" w14:textId="77777777" w:rsidR="003835DE" w:rsidRDefault="003835DE" w:rsidP="0032134C">
            <w:pPr>
              <w:pStyle w:val="ListNumber"/>
              <w:numPr>
                <w:ilvl w:val="0"/>
                <w:numId w:val="12"/>
              </w:numPr>
            </w:pPr>
            <w:r>
              <w:t xml:space="preserve">What are the most significant costs that your entity could expect in order to provide customers with basic transaction accounts? </w:t>
            </w:r>
          </w:p>
          <w:p w14:paraId="63CA3D7D" w14:textId="04961418" w:rsidR="00FB2AD0" w:rsidRDefault="003835DE" w:rsidP="0032134C">
            <w:pPr>
              <w:pStyle w:val="ListNumber"/>
              <w:numPr>
                <w:ilvl w:val="0"/>
                <w:numId w:val="12"/>
              </w:numPr>
            </w:pPr>
            <w:r>
              <w:t xml:space="preserve">That are the most significant benefits that your entity could expect in providing customers with basic transaction accounts? </w:t>
            </w:r>
            <w:r w:rsidR="00FB2AD0">
              <w:t xml:space="preserve"> </w:t>
            </w:r>
          </w:p>
          <w:p w14:paraId="5BBDEADE" w14:textId="2BDD3FDA" w:rsidR="002C0DCC" w:rsidRPr="00FB2AD0" w:rsidRDefault="000B7BDC" w:rsidP="0032134C">
            <w:pPr>
              <w:pStyle w:val="ListNumber"/>
              <w:numPr>
                <w:ilvl w:val="0"/>
                <w:numId w:val="12"/>
              </w:numPr>
            </w:pPr>
            <w:r>
              <w:t xml:space="preserve">Does your entity </w:t>
            </w:r>
            <w:r w:rsidR="00584BBF">
              <w:t>intend</w:t>
            </w:r>
            <w:r w:rsidR="00FB2AD0" w:rsidRPr="00326284">
              <w:t xml:space="preserve"> to pilot </w:t>
            </w:r>
            <w:r w:rsidR="002C0DCC">
              <w:t>and/</w:t>
            </w:r>
            <w:r w:rsidR="00416EC0">
              <w:t>or implement</w:t>
            </w:r>
            <w:r w:rsidR="00FB2AD0" w:rsidRPr="00326284">
              <w:t xml:space="preserve"> a basic transaction account? </w:t>
            </w:r>
            <w:r w:rsidR="00412BD8">
              <w:t xml:space="preserve"> </w:t>
            </w:r>
          </w:p>
        </w:tc>
      </w:tr>
    </w:tbl>
    <w:p w14:paraId="42AC9AF7" w14:textId="53FACE9C" w:rsidR="00EB75F5" w:rsidRPr="008D280B" w:rsidRDefault="005C64B6" w:rsidP="00FB2AD0">
      <w:pPr>
        <w:pStyle w:val="Heading2Numbered"/>
      </w:pPr>
      <w:bookmarkStart w:id="64" w:name="_Toc193437698"/>
      <w:bookmarkStart w:id="65" w:name="_Toc196208755"/>
      <w:r>
        <w:t>Approach to design and implement basic transaction accounts</w:t>
      </w:r>
      <w:bookmarkEnd w:id="64"/>
      <w:bookmarkEnd w:id="65"/>
    </w:p>
    <w:p w14:paraId="22AE8033" w14:textId="5E1C446D" w:rsidR="000A2E02" w:rsidRDefault="00340E5D" w:rsidP="00517456">
      <w:r>
        <w:t>Our international analysis has highlighted three options for making basic transaction accounts widely available: regulatory requirements, an industry</w:t>
      </w:r>
      <w:r w:rsidR="005E048D">
        <w:t>-</w:t>
      </w:r>
      <w:r>
        <w:t xml:space="preserve">led approach, or a hybrid model involving a collaborative approach </w:t>
      </w:r>
      <w:r w:rsidRPr="00340E5D">
        <w:t xml:space="preserve">to simplify account opening for basic </w:t>
      </w:r>
      <w:r>
        <w:t xml:space="preserve">transaction </w:t>
      </w:r>
      <w:r w:rsidRPr="00340E5D">
        <w:t>accounts</w:t>
      </w:r>
      <w:r>
        <w:t xml:space="preserve"> (AML/CFT tiering). </w:t>
      </w:r>
      <w:r w:rsidR="00F23B45">
        <w:t>We have undertaken initial analysis of how these options could be progressed in</w:t>
      </w:r>
      <w:r w:rsidR="004A4E2A">
        <w:t xml:space="preserve"> Aotearoa</w:t>
      </w:r>
      <w:r w:rsidR="00F23B45">
        <w:t xml:space="preserve"> New Zealand with respect to competition rules and the existing regulatory environment. </w:t>
      </w:r>
    </w:p>
    <w:p w14:paraId="2EDF53A7" w14:textId="77777777" w:rsidR="00CE6024" w:rsidRPr="00F23B45" w:rsidRDefault="00CE6024" w:rsidP="00CE6024">
      <w:pPr>
        <w:pStyle w:val="Heading3"/>
      </w:pPr>
      <w:r w:rsidRPr="00F23B45">
        <w:t xml:space="preserve">A regulatory approach </w:t>
      </w:r>
      <w:r>
        <w:t>could be considered</w:t>
      </w:r>
      <w:r w:rsidRPr="00F23B45">
        <w:t xml:space="preserve"> </w:t>
      </w:r>
      <w:r>
        <w:t>as part of the rules and requirement for deposit takers</w:t>
      </w:r>
    </w:p>
    <w:p w14:paraId="4898FDB1" w14:textId="1BCA0FC9" w:rsidR="00CE6024" w:rsidRPr="00DF4050" w:rsidRDefault="00CE6024" w:rsidP="00CE6024">
      <w:r w:rsidRPr="00DF4050">
        <w:t xml:space="preserve">CoFR agencies may look at whether setting regulatory requirements for the provision of basic transaction accounts could align with existing legislation. We have analysed the alignment and fit of setting minimum standards for the provision of basic transaction accounts for: </w:t>
      </w:r>
    </w:p>
    <w:p w14:paraId="304948D7" w14:textId="77777777" w:rsidR="00CE6024" w:rsidRPr="00DF4050" w:rsidRDefault="00CE6024" w:rsidP="00CE6024">
      <w:pPr>
        <w:pStyle w:val="ListBullet"/>
      </w:pPr>
      <w:r w:rsidRPr="00DF4050">
        <w:rPr>
          <w:i/>
        </w:rPr>
        <w:t>The Financial Markets Authority</w:t>
      </w:r>
      <w:r w:rsidRPr="00DF4050">
        <w:t xml:space="preserve">, as part of the conduct regime. </w:t>
      </w:r>
    </w:p>
    <w:p w14:paraId="067C3C45" w14:textId="77777777" w:rsidR="00CE6024" w:rsidRPr="00DF4050" w:rsidRDefault="00CE6024" w:rsidP="00CE6024">
      <w:pPr>
        <w:pStyle w:val="ListBullet"/>
      </w:pPr>
      <w:r w:rsidRPr="00DF4050">
        <w:rPr>
          <w:i/>
        </w:rPr>
        <w:t>RBNZ</w:t>
      </w:r>
      <w:r w:rsidRPr="00DF4050">
        <w:t>, as part of the statutory currency function and our prudential supervision regime.</w:t>
      </w:r>
    </w:p>
    <w:p w14:paraId="6720E693" w14:textId="77777777" w:rsidR="00CE6024" w:rsidRDefault="00CE6024" w:rsidP="00CE6024">
      <w:bookmarkStart w:id="66" w:name="_Hlk178834997"/>
      <w:r w:rsidRPr="00DF4050">
        <w:lastRenderedPageBreak/>
        <w:t>Significant work</w:t>
      </w:r>
      <w:r>
        <w:t xml:space="preserve"> to</w:t>
      </w:r>
      <w:r w:rsidRPr="00DF4050">
        <w:t xml:space="preserve"> analys</w:t>
      </w:r>
      <w:r>
        <w:t>e the</w:t>
      </w:r>
      <w:r w:rsidRPr="00DF4050">
        <w:t xml:space="preserve"> costs and benefits </w:t>
      </w:r>
      <w:r>
        <w:t xml:space="preserve">of regulation </w:t>
      </w:r>
      <w:r w:rsidRPr="00DF4050">
        <w:t xml:space="preserve">would be required if there was appetite to consider </w:t>
      </w:r>
      <w:r>
        <w:t>this</w:t>
      </w:r>
      <w:r w:rsidRPr="00DF4050">
        <w:t xml:space="preserve"> option, if a formal regulatory approach is warranted or appropriate in the future.</w:t>
      </w:r>
      <w:r w:rsidRPr="007108D0">
        <w:t xml:space="preserve"> </w:t>
      </w:r>
      <w:bookmarkEnd w:id="66"/>
    </w:p>
    <w:p w14:paraId="48A07CB2" w14:textId="077327B8" w:rsidR="00F23B45" w:rsidRPr="00F23B45" w:rsidRDefault="00F23B45" w:rsidP="00517456">
      <w:pPr>
        <w:pStyle w:val="Heading3"/>
      </w:pPr>
      <w:r w:rsidRPr="00F23B45">
        <w:t xml:space="preserve">An industry led approach and </w:t>
      </w:r>
      <w:r w:rsidR="0065325D">
        <w:t xml:space="preserve">hybrid </w:t>
      </w:r>
      <w:r w:rsidRPr="00F23B45">
        <w:t xml:space="preserve">model </w:t>
      </w:r>
      <w:r>
        <w:t xml:space="preserve">may align with competition rules </w:t>
      </w:r>
    </w:p>
    <w:p w14:paraId="504E2F37" w14:textId="2C02DB80" w:rsidR="0045516C" w:rsidRPr="007C14D9" w:rsidRDefault="0045516C" w:rsidP="00517456">
      <w:r w:rsidRPr="007C14D9">
        <w:t>The Commerce Commission has developed Competitor Collaboration Guidelines, which includes guidance on the exemption for collaborative activities from the cartel prohibition, that may be relevant in the context of providing basic bank accounts.</w:t>
      </w:r>
      <w:r w:rsidRPr="007C14D9">
        <w:rPr>
          <w:vertAlign w:val="superscript"/>
        </w:rPr>
        <w:footnoteReference w:id="101"/>
      </w:r>
      <w:r w:rsidRPr="007C14D9">
        <w:t xml:space="preserve"> There are circumstances where industry agreements or collaborative behaviour can result in public benefits </w:t>
      </w:r>
      <w:r>
        <w:t xml:space="preserve">that </w:t>
      </w:r>
      <w:r w:rsidRPr="007C14D9">
        <w:t>may outweigh the competitive harm arising from the agreements or behaviour.</w:t>
      </w:r>
      <w:r w:rsidRPr="007C14D9">
        <w:rPr>
          <w:rFonts w:ascii="Aptos" w:hAnsi="Aptos"/>
          <w:color w:val="FF0000"/>
        </w:rPr>
        <w:t xml:space="preserve"> </w:t>
      </w:r>
      <w:r w:rsidRPr="007C14D9">
        <w:t xml:space="preserve">In such cases, firms can apply to the Commerce </w:t>
      </w:r>
      <w:r w:rsidRPr="00CA736D">
        <w:t>Commission for authorisation, which</w:t>
      </w:r>
      <w:r w:rsidRPr="007C14D9">
        <w:t xml:space="preserve"> allows firms to undertake anti-competitive conduct that would otherwise breach the Commerce Act. The Commerce Commission has developed Authorisation Guidelines on this matter</w:t>
      </w:r>
      <w:r w:rsidR="00F23B45">
        <w:t>.</w:t>
      </w:r>
      <w:r w:rsidRPr="007C14D9">
        <w:rPr>
          <w:rStyle w:val="FootnoteReference"/>
        </w:rPr>
        <w:footnoteReference w:id="102"/>
      </w:r>
      <w:r w:rsidR="00F23B45">
        <w:t xml:space="preserve"> </w:t>
      </w:r>
      <w:r w:rsidRPr="007C14D9">
        <w:t>The Commerce Commission’s Co</w:t>
      </w:r>
      <w:r>
        <w:t xml:space="preserve">llaboration and Sustainability </w:t>
      </w:r>
      <w:r w:rsidRPr="007C14D9">
        <w:t xml:space="preserve">Guidelines outlines factors that should be considered when assessing collaboration between competing businesses for common objectives, including when collaboration is more or less likely to harm competition. Despite being focused on sustainability objectives, the principles are applicable to competitor collaboration for any objective including providing basic </w:t>
      </w:r>
      <w:r w:rsidR="003D21BC">
        <w:t>transaction</w:t>
      </w:r>
      <w:r w:rsidRPr="007C14D9">
        <w:t xml:space="preserve"> accounts.</w:t>
      </w:r>
      <w:r w:rsidRPr="007C14D9">
        <w:rPr>
          <w:rStyle w:val="FootnoteReference"/>
        </w:rPr>
        <w:footnoteReference w:id="103"/>
      </w:r>
      <w:r w:rsidRPr="007C14D9">
        <w:t xml:space="preserve"> </w:t>
      </w:r>
    </w:p>
    <w:p w14:paraId="627630D0" w14:textId="371F7804" w:rsidR="0045516C" w:rsidRDefault="0045516C" w:rsidP="0045516C">
      <w:r w:rsidRPr="007C14D9">
        <w:t xml:space="preserve">We have considered the extent to which competition laws could be a barrier to industry collaboration </w:t>
      </w:r>
      <w:r>
        <w:t>in piloting a basic transaction account</w:t>
      </w:r>
      <w:r w:rsidRPr="007C14D9">
        <w:t xml:space="preserve">. In line with the Australian Banking Code, our initial position is that the public benefits of improving access to basic bank accounts could outweigh the potential impacts on competition. </w:t>
      </w:r>
      <w:r w:rsidR="00F23B45">
        <w:t>Collaboration (between deposit takers or with financial regulators) to</w:t>
      </w:r>
      <w:r w:rsidRPr="007C14D9">
        <w:t xml:space="preserve"> </w:t>
      </w:r>
      <w:r>
        <w:t xml:space="preserve">pilot </w:t>
      </w:r>
      <w:r w:rsidR="00052537">
        <w:t xml:space="preserve">or implement </w:t>
      </w:r>
      <w:r w:rsidRPr="007C14D9">
        <w:t xml:space="preserve">basic transaction </w:t>
      </w:r>
      <w:r w:rsidR="00D3456E">
        <w:t>account</w:t>
      </w:r>
      <w:r w:rsidR="00052537">
        <w:t>s</w:t>
      </w:r>
      <w:r w:rsidR="00D3456E">
        <w:t xml:space="preserve"> </w:t>
      </w:r>
      <w:r w:rsidRPr="007C14D9">
        <w:t xml:space="preserve">could improve competition for under-served customer groups, as well as have the potential to provide significant public benefit if implemented successfully. </w:t>
      </w:r>
    </w:p>
    <w:p w14:paraId="6FE57912" w14:textId="4B9122E8" w:rsidR="009D63F7" w:rsidRDefault="009D63F7" w:rsidP="00517456">
      <w:pPr>
        <w:pStyle w:val="Heading3"/>
      </w:pPr>
      <w:r w:rsidRPr="009A5E3C">
        <w:t>More information and greater engagement would be required before any decision</w:t>
      </w:r>
      <w:r>
        <w:t>s</w:t>
      </w:r>
      <w:r w:rsidRPr="009A5E3C">
        <w:t xml:space="preserve"> can be made</w:t>
      </w:r>
      <w:r>
        <w:t xml:space="preserve"> </w:t>
      </w:r>
    </w:p>
    <w:p w14:paraId="0302CFDC" w14:textId="1BFE8D53" w:rsidR="009A5E3C" w:rsidRDefault="007108D0" w:rsidP="00517456">
      <w:r>
        <w:t xml:space="preserve">CoFR is keeping an open mind at this stage as to whether the industry would be well positioned to improve access to transaction accounts </w:t>
      </w:r>
      <w:r w:rsidR="002470FD">
        <w:t>(</w:t>
      </w:r>
      <w:r>
        <w:t>with the appropriate regulatory support</w:t>
      </w:r>
      <w:r w:rsidR="002470FD">
        <w:t>)</w:t>
      </w:r>
      <w:r>
        <w:t xml:space="preserve">, whether collaboration </w:t>
      </w:r>
      <w:r w:rsidR="002470FD">
        <w:t xml:space="preserve">between regulators and financial institutions </w:t>
      </w:r>
      <w:r>
        <w:t xml:space="preserve">could lead to desirable </w:t>
      </w:r>
      <w:r w:rsidR="002470FD">
        <w:t>outcomes</w:t>
      </w:r>
      <w:r>
        <w:t>, or whether a regulatory approach may be required to set minimum standards for the provision of basic transaction accounts.</w:t>
      </w:r>
      <w:r w:rsidR="002470FD">
        <w:t xml:space="preserve"> We are therefore seeking feedback on these options as part of public engagement. </w:t>
      </w:r>
    </w:p>
    <w:tbl>
      <w:tblPr>
        <w:tblStyle w:val="Questions"/>
        <w:tblW w:w="0" w:type="auto"/>
        <w:tblLook w:val="0600" w:firstRow="0" w:lastRow="0" w:firstColumn="0" w:lastColumn="0" w:noHBand="1" w:noVBand="1"/>
      </w:tblPr>
      <w:tblGrid>
        <w:gridCol w:w="9060"/>
      </w:tblGrid>
      <w:tr w:rsidR="00517456" w14:paraId="2F5F1331" w14:textId="77777777" w:rsidTr="00517456">
        <w:tc>
          <w:tcPr>
            <w:tcW w:w="9060" w:type="dxa"/>
          </w:tcPr>
          <w:p w14:paraId="40485C23" w14:textId="04AB763A" w:rsidR="00517456" w:rsidRDefault="00517456" w:rsidP="00517456">
            <w:pPr>
              <w:pStyle w:val="HighlightSectionCaseStudyHeading"/>
            </w:pPr>
            <w:r w:rsidRPr="00006C2C">
              <w:lastRenderedPageBreak/>
              <w:t>Questions for engagement:</w:t>
            </w:r>
          </w:p>
          <w:p w14:paraId="13A35508" w14:textId="6A98D784" w:rsidR="00D22744" w:rsidRDefault="00FD6C2E" w:rsidP="00BD107E">
            <w:pPr>
              <w:pStyle w:val="ListNumber"/>
            </w:pPr>
            <w:r>
              <w:t>Which of the following approaches do you think would be most effective in Aotearoa New Zealand to make basic transaction accounts widely available</w:t>
            </w:r>
            <w:r w:rsidR="00EF4374">
              <w:t>?</w:t>
            </w:r>
            <w:r w:rsidR="005103ED">
              <w:t xml:space="preserve"> </w:t>
            </w:r>
            <w:r w:rsidR="00370884">
              <w:t>Please s</w:t>
            </w:r>
            <w:r w:rsidR="005103ED">
              <w:t xml:space="preserve">elect one. </w:t>
            </w:r>
          </w:p>
          <w:p w14:paraId="7A9710C4" w14:textId="533CF04C" w:rsidR="00EF4374" w:rsidRDefault="00000000" w:rsidP="00EF4374">
            <w:pPr>
              <w:pStyle w:val="ListNumber"/>
              <w:numPr>
                <w:ilvl w:val="0"/>
                <w:numId w:val="0"/>
              </w:numPr>
              <w:ind w:left="340"/>
            </w:pPr>
            <w:sdt>
              <w:sdtPr>
                <w:id w:val="215318467"/>
                <w14:checkbox>
                  <w14:checked w14:val="0"/>
                  <w14:checkedState w14:val="2612" w14:font="MS Gothic"/>
                  <w14:uncheckedState w14:val="2610" w14:font="MS Gothic"/>
                </w14:checkbox>
              </w:sdtPr>
              <w:sdtContent>
                <w:r w:rsidR="005103ED">
                  <w:rPr>
                    <w:rFonts w:ascii="MS Gothic" w:eastAsia="MS Gothic" w:hAnsi="MS Gothic" w:hint="eastAsia"/>
                  </w:rPr>
                  <w:t>☐</w:t>
                </w:r>
              </w:sdtContent>
            </w:sdt>
            <w:r w:rsidR="005103ED">
              <w:t xml:space="preserve"> Regulatory requirements</w:t>
            </w:r>
          </w:p>
          <w:p w14:paraId="5176949C" w14:textId="01456739" w:rsidR="005103ED" w:rsidRDefault="00000000" w:rsidP="00EF4374">
            <w:pPr>
              <w:pStyle w:val="ListNumber"/>
              <w:numPr>
                <w:ilvl w:val="0"/>
                <w:numId w:val="0"/>
              </w:numPr>
              <w:ind w:left="340"/>
            </w:pPr>
            <w:sdt>
              <w:sdtPr>
                <w:id w:val="-1385087939"/>
                <w14:checkbox>
                  <w14:checked w14:val="0"/>
                  <w14:checkedState w14:val="2612" w14:font="MS Gothic"/>
                  <w14:uncheckedState w14:val="2610" w14:font="MS Gothic"/>
                </w14:checkbox>
              </w:sdtPr>
              <w:sdtContent>
                <w:r w:rsidR="005103ED">
                  <w:rPr>
                    <w:rFonts w:ascii="MS Gothic" w:eastAsia="MS Gothic" w:hAnsi="MS Gothic" w:hint="eastAsia"/>
                  </w:rPr>
                  <w:t>☐</w:t>
                </w:r>
              </w:sdtContent>
            </w:sdt>
            <w:r w:rsidR="005103ED">
              <w:t xml:space="preserve"> Industry-led</w:t>
            </w:r>
          </w:p>
          <w:p w14:paraId="796BC25D" w14:textId="599EBF0C" w:rsidR="005103ED" w:rsidRDefault="00000000" w:rsidP="00EF4374">
            <w:pPr>
              <w:pStyle w:val="ListNumber"/>
              <w:numPr>
                <w:ilvl w:val="0"/>
                <w:numId w:val="0"/>
              </w:numPr>
              <w:ind w:left="340"/>
            </w:pPr>
            <w:sdt>
              <w:sdtPr>
                <w:id w:val="-446621653"/>
                <w14:checkbox>
                  <w14:checked w14:val="0"/>
                  <w14:checkedState w14:val="2612" w14:font="MS Gothic"/>
                  <w14:uncheckedState w14:val="2610" w14:font="MS Gothic"/>
                </w14:checkbox>
              </w:sdtPr>
              <w:sdtContent>
                <w:r w:rsidR="005103ED">
                  <w:rPr>
                    <w:rFonts w:ascii="MS Gothic" w:eastAsia="MS Gothic" w:hAnsi="MS Gothic" w:hint="eastAsia"/>
                  </w:rPr>
                  <w:t>☐</w:t>
                </w:r>
              </w:sdtContent>
            </w:sdt>
            <w:r w:rsidR="005103ED">
              <w:t xml:space="preserve"> Hybrid approach</w:t>
            </w:r>
          </w:p>
          <w:p w14:paraId="2A59FDBE" w14:textId="243C0BCA" w:rsidR="00517456" w:rsidRPr="00326284" w:rsidRDefault="001F301A" w:rsidP="001F301A">
            <w:pPr>
              <w:pStyle w:val="ListNumber"/>
            </w:pPr>
            <w:r>
              <w:t xml:space="preserve">Do you have any suggestions on how to improve access to </w:t>
            </w:r>
            <w:r w:rsidRPr="0DC4A1DB">
              <w:rPr>
                <w:i/>
                <w:iCs/>
              </w:rPr>
              <w:t>basic transaction accounts</w:t>
            </w:r>
            <w:r>
              <w:rPr>
                <w:i/>
                <w:iCs/>
              </w:rPr>
              <w:t xml:space="preserve"> </w:t>
            </w:r>
            <w:r>
              <w:t>that are not outlined in the Issues Paper?</w:t>
            </w:r>
            <w:r w:rsidR="00517456">
              <w:t xml:space="preserve"> </w:t>
            </w:r>
          </w:p>
          <w:p w14:paraId="5968193F" w14:textId="77777777" w:rsidR="00517456" w:rsidRPr="0045516C" w:rsidRDefault="00517456" w:rsidP="00517456">
            <w:pPr>
              <w:pStyle w:val="HighlightSectionCaseStudyHeading"/>
            </w:pPr>
            <w:r w:rsidRPr="005C64B6">
              <w:t>Question</w:t>
            </w:r>
            <w:r>
              <w:t>s</w:t>
            </w:r>
            <w:r w:rsidRPr="005C64B6">
              <w:t xml:space="preserve"> for deposit takers:</w:t>
            </w:r>
          </w:p>
          <w:p w14:paraId="3558CB27" w14:textId="77777777" w:rsidR="00FD6C2E" w:rsidRDefault="00517456" w:rsidP="00FD6C2E">
            <w:pPr>
              <w:pStyle w:val="ListNumber"/>
            </w:pPr>
            <w:r w:rsidRPr="00E471CE">
              <w:t>Do you think</w:t>
            </w:r>
            <w:r w:rsidR="00DB71DD">
              <w:t xml:space="preserve"> that</w:t>
            </w:r>
            <w:r w:rsidRPr="00E471CE">
              <w:t xml:space="preserve"> the deposit-taking sector is well positioned to design and implement basic transaction accounts through an </w:t>
            </w:r>
            <w:r w:rsidR="00436159" w:rsidRPr="00E471CE">
              <w:t>industry</w:t>
            </w:r>
            <w:r w:rsidR="00436159">
              <w:t>-</w:t>
            </w:r>
            <w:r w:rsidRPr="00E471CE">
              <w:t xml:space="preserve">led approach? </w:t>
            </w:r>
          </w:p>
          <w:p w14:paraId="4A8A1BF3" w14:textId="6358F2FD" w:rsidR="00517456" w:rsidRDefault="003835DE" w:rsidP="003835DE">
            <w:pPr>
              <w:pStyle w:val="ListNumber"/>
            </w:pPr>
            <w:r>
              <w:t xml:space="preserve">Do you foresee any </w:t>
            </w:r>
            <w:r w:rsidRPr="00E471CE">
              <w:t xml:space="preserve">regulatory support </w:t>
            </w:r>
            <w:r>
              <w:t>that may</w:t>
            </w:r>
            <w:r w:rsidRPr="00E471CE">
              <w:t xml:space="preserve"> be required</w:t>
            </w:r>
            <w:r>
              <w:t xml:space="preserve"> for you to design and implement a basic transaction account</w:t>
            </w:r>
            <w:r w:rsidRPr="00E471CE">
              <w:t xml:space="preserve">? </w:t>
            </w:r>
          </w:p>
        </w:tc>
      </w:tr>
    </w:tbl>
    <w:p w14:paraId="430F3A22" w14:textId="0B271852" w:rsidR="000A2E02" w:rsidRDefault="00326284" w:rsidP="000D4362">
      <w:pPr>
        <w:pStyle w:val="Heading1Numbered"/>
        <w:spacing w:after="120"/>
      </w:pPr>
      <w:bookmarkStart w:id="67" w:name="_Toc193437699"/>
      <w:bookmarkStart w:id="68" w:name="_Toc196208756"/>
      <w:r>
        <w:lastRenderedPageBreak/>
        <w:t>Conclusions and n</w:t>
      </w:r>
      <w:r w:rsidR="000A2E02" w:rsidRPr="00780788">
        <w:t>ext steps</w:t>
      </w:r>
      <w:bookmarkEnd w:id="67"/>
      <w:bookmarkEnd w:id="68"/>
    </w:p>
    <w:p w14:paraId="4E8A9D19" w14:textId="126E9E2F" w:rsidR="009A5E3C" w:rsidRPr="00326284" w:rsidRDefault="002470FD" w:rsidP="000D4362">
      <w:pPr>
        <w:spacing w:line="235" w:lineRule="auto"/>
      </w:pPr>
      <w:r>
        <w:t>This Issues Paper support</w:t>
      </w:r>
      <w:r w:rsidR="00AE05EF">
        <w:t>s</w:t>
      </w:r>
      <w:r>
        <w:t xml:space="preserve"> discussion on the topic of access to basic transaction accounts. </w:t>
      </w:r>
      <w:r w:rsidR="00CE6024">
        <w:t>It</w:t>
      </w:r>
      <w:r>
        <w:t xml:space="preserve"> brings together our analysis of the issue and international </w:t>
      </w:r>
      <w:r w:rsidR="00334BA3">
        <w:t>approaches</w:t>
      </w:r>
      <w:r>
        <w:t xml:space="preserve"> to </w:t>
      </w:r>
      <w:r w:rsidR="00334BA3">
        <w:t>highlight opportunities</w:t>
      </w:r>
      <w:r>
        <w:t xml:space="preserve"> in Aotearoa New Zealand. </w:t>
      </w:r>
      <w:r w:rsidR="00F55BE4">
        <w:t>F</w:t>
      </w:r>
      <w:r>
        <w:t xml:space="preserve">urther engagement with a variety of stakeholders is </w:t>
      </w:r>
      <w:r w:rsidR="00F55BE4">
        <w:t xml:space="preserve">now </w:t>
      </w:r>
      <w:r>
        <w:t xml:space="preserve">required to inform the forward trajectory in this area. </w:t>
      </w:r>
      <w:r w:rsidR="009A5E3C">
        <w:t xml:space="preserve">There are two next steps that </w:t>
      </w:r>
      <w:r>
        <w:t>would</w:t>
      </w:r>
      <w:r w:rsidR="009A5E3C">
        <w:t xml:space="preserve"> help to inform pathways for making basic transaction accounts widely available</w:t>
      </w:r>
      <w:r w:rsidR="00CE6024">
        <w:t xml:space="preserve">; </w:t>
      </w:r>
      <w:r w:rsidR="00AE05EF">
        <w:t>o</w:t>
      </w:r>
      <w:r w:rsidR="009A5E3C">
        <w:t xml:space="preserve">ngoing monitoring of access to transaction accounts </w:t>
      </w:r>
      <w:r w:rsidR="00AE05EF">
        <w:t>and r</w:t>
      </w:r>
      <w:r w:rsidR="009A5E3C">
        <w:t>eceiving public submissions on the questions outlined in this Issues Paper</w:t>
      </w:r>
      <w:r w:rsidR="00AE05EF">
        <w:t xml:space="preserve">. </w:t>
      </w:r>
    </w:p>
    <w:p w14:paraId="0EC5093F" w14:textId="4897165E" w:rsidR="0045516C" w:rsidRPr="008D280B" w:rsidRDefault="009A5E3C" w:rsidP="000D4362">
      <w:pPr>
        <w:pStyle w:val="Heading2Numbered"/>
        <w:spacing w:before="240"/>
      </w:pPr>
      <w:bookmarkStart w:id="69" w:name="_Toc193437700"/>
      <w:bookmarkStart w:id="70" w:name="_Toc196208757"/>
      <w:r>
        <w:t>Monitoring access to transaction accounts</w:t>
      </w:r>
      <w:bookmarkEnd w:id="69"/>
      <w:bookmarkEnd w:id="70"/>
      <w:r>
        <w:t xml:space="preserve"> </w:t>
      </w:r>
    </w:p>
    <w:p w14:paraId="051023CD" w14:textId="46207A02" w:rsidR="000A2E02" w:rsidRPr="00F23B45" w:rsidRDefault="00F23B45" w:rsidP="000D4362">
      <w:pPr>
        <w:spacing w:line="235" w:lineRule="auto"/>
      </w:pPr>
      <w:r>
        <w:t>RBNZ</w:t>
      </w:r>
      <w:r w:rsidR="0045516C" w:rsidRPr="009453D0">
        <w:t xml:space="preserve"> </w:t>
      </w:r>
      <w:r>
        <w:t>is developing indicators of financial inclusion, including access to transaction accounts</w:t>
      </w:r>
      <w:r w:rsidR="289B3150">
        <w:t>,</w:t>
      </w:r>
      <w:r>
        <w:t xml:space="preserve"> to help </w:t>
      </w:r>
      <w:r w:rsidR="0045516C" w:rsidRPr="009453D0">
        <w:t xml:space="preserve">monitor </w:t>
      </w:r>
      <w:r w:rsidR="77D7AEA1">
        <w:t>financial inc</w:t>
      </w:r>
      <w:r w:rsidR="00F55BE4">
        <w:t>l</w:t>
      </w:r>
      <w:r w:rsidR="77D7AEA1">
        <w:t>usion</w:t>
      </w:r>
      <w:r w:rsidR="0045516C" w:rsidRPr="009453D0">
        <w:t xml:space="preserve">. </w:t>
      </w:r>
      <w:r>
        <w:t>RBNZ expect to release their first snapshot into financial inclusion indicators in</w:t>
      </w:r>
      <w:r w:rsidR="00C75062">
        <w:t xml:space="preserve"> </w:t>
      </w:r>
      <w:r>
        <w:t>2025, to provide a baseline of access to transaction accounts. This snapshot will also summarise information that is already available through existing data collections, and remaining gaps where further information may be required to assess financial inclusion in the deposit</w:t>
      </w:r>
      <w:r w:rsidR="00B71BBA">
        <w:t>-</w:t>
      </w:r>
      <w:r>
        <w:t xml:space="preserve">taking sector. </w:t>
      </w:r>
      <w:r w:rsidR="000A2E02" w:rsidRPr="007C14D9">
        <w:t xml:space="preserve"> </w:t>
      </w:r>
    </w:p>
    <w:p w14:paraId="54B163DA" w14:textId="6864D1AB" w:rsidR="000D665C" w:rsidRPr="00B80FB5" w:rsidRDefault="009A5E3C" w:rsidP="000D4362">
      <w:pPr>
        <w:pStyle w:val="Heading2Numbered"/>
        <w:spacing w:before="240"/>
      </w:pPr>
      <w:bookmarkStart w:id="71" w:name="_Toc193437701"/>
      <w:bookmarkStart w:id="72" w:name="_Toc196208758"/>
      <w:r>
        <w:t>Receiving public submissions</w:t>
      </w:r>
      <w:bookmarkEnd w:id="71"/>
      <w:bookmarkEnd w:id="72"/>
      <w:r>
        <w:t xml:space="preserve"> </w:t>
      </w:r>
    </w:p>
    <w:p w14:paraId="47584405" w14:textId="709980F1" w:rsidR="00441F74" w:rsidRDefault="00AE05EF" w:rsidP="000D4362">
      <w:pPr>
        <w:spacing w:after="140" w:line="235" w:lineRule="auto"/>
      </w:pPr>
      <w:r w:rsidRPr="00DF4050">
        <w:t>CoFR</w:t>
      </w:r>
      <w:r w:rsidR="000D665C" w:rsidRPr="00DF4050">
        <w:t xml:space="preserve"> invites submissions on this Issues </w:t>
      </w:r>
      <w:r w:rsidR="000D665C" w:rsidRPr="00C75062">
        <w:t xml:space="preserve">Paper by </w:t>
      </w:r>
      <w:r w:rsidR="000D665C" w:rsidRPr="00C75062">
        <w:rPr>
          <w:rStyle w:val="Emphasis"/>
        </w:rPr>
        <w:t xml:space="preserve">5pm on </w:t>
      </w:r>
      <w:r w:rsidR="002E66AE" w:rsidRPr="00C75062">
        <w:rPr>
          <w:rStyle w:val="Emphasis"/>
        </w:rPr>
        <w:t>18 June</w:t>
      </w:r>
      <w:r w:rsidR="000D665C" w:rsidRPr="00C75062">
        <w:rPr>
          <w:rStyle w:val="Emphasis"/>
        </w:rPr>
        <w:t xml:space="preserve"> 2025</w:t>
      </w:r>
      <w:r w:rsidR="000D665C" w:rsidRPr="00C75062">
        <w:t xml:space="preserve">. </w:t>
      </w:r>
      <w:r w:rsidR="00F23B45" w:rsidRPr="00C75062">
        <w:t xml:space="preserve">We will continue to engage with stakeholders during this time, and any feedback received will support the refinement of our </w:t>
      </w:r>
      <w:r w:rsidR="002470FD" w:rsidRPr="00C75062">
        <w:t>analysis</w:t>
      </w:r>
      <w:r w:rsidR="00F23B45" w:rsidRPr="00C75062">
        <w:t xml:space="preserve"> and pathways towards action.</w:t>
      </w:r>
      <w:r w:rsidR="00326284" w:rsidRPr="00C75062">
        <w:t xml:space="preserve"> </w:t>
      </w:r>
      <w:r w:rsidR="00B80FB5" w:rsidRPr="00C75062">
        <w:t xml:space="preserve">The feedback template can be accessed </w:t>
      </w:r>
      <w:r w:rsidR="002470FD" w:rsidRPr="00C75062">
        <w:t xml:space="preserve">through </w:t>
      </w:r>
      <w:r w:rsidR="00CE6024">
        <w:t>C</w:t>
      </w:r>
      <w:r w:rsidR="002470FD" w:rsidRPr="00C75062">
        <w:t xml:space="preserve">itizen </w:t>
      </w:r>
      <w:r w:rsidR="00CE6024">
        <w:t>S</w:t>
      </w:r>
      <w:r w:rsidR="002470FD" w:rsidRPr="00C75062">
        <w:t>pace</w:t>
      </w:r>
      <w:r w:rsidR="000D665C" w:rsidRPr="00C75062">
        <w:t xml:space="preserve"> </w:t>
      </w:r>
      <w:hyperlink r:id="rId24" w:history="1">
        <w:r w:rsidR="000D665C" w:rsidRPr="00C75062">
          <w:rPr>
            <w:rStyle w:val="Hyperlink"/>
          </w:rPr>
          <w:t>https://consultations.rbnz.govt.nz</w:t>
        </w:r>
      </w:hyperlink>
      <w:r w:rsidRPr="00C75062">
        <w:rPr>
          <w:rStyle w:val="Hyperlink"/>
        </w:rPr>
        <w:t xml:space="preserve"> </w:t>
      </w:r>
      <w:r w:rsidRPr="00C75062">
        <w:t>Please note the disclosure on the publications of submissions below.</w:t>
      </w:r>
      <w:r w:rsidR="00441F74" w:rsidRPr="00C75062">
        <w:t xml:space="preserve"> </w:t>
      </w:r>
      <w:r w:rsidR="000D665C" w:rsidRPr="00C75062">
        <w:t>We will publish your submission on the</w:t>
      </w:r>
      <w:r w:rsidR="00FA3012">
        <w:t xml:space="preserve"> </w:t>
      </w:r>
      <w:r w:rsidR="00441F74" w:rsidRPr="00C75062">
        <w:t>RBNZ</w:t>
      </w:r>
      <w:r w:rsidR="000D665C" w:rsidRPr="00C75062">
        <w:t xml:space="preserve"> website</w:t>
      </w:r>
      <w:r w:rsidR="00AF043D" w:rsidRPr="00C75062">
        <w:t xml:space="preserve"> as the chair for CoFR FI, and a summary of the consultation</w:t>
      </w:r>
      <w:r w:rsidR="00AF043D">
        <w:t xml:space="preserve"> will be developed and shared publicly following the end of the consultation period</w:t>
      </w:r>
      <w:r w:rsidR="000D665C" w:rsidRPr="000D665C">
        <w:t xml:space="preserve">. We will make all information in submissions public unless you indicate you would like all or part of your submission to remain confidential. </w:t>
      </w:r>
    </w:p>
    <w:p w14:paraId="0356C3D2" w14:textId="6C72BA4D" w:rsidR="000D665C" w:rsidRPr="000D665C" w:rsidRDefault="000D665C" w:rsidP="000D4362">
      <w:pPr>
        <w:spacing w:after="140" w:line="235" w:lineRule="auto"/>
      </w:pPr>
      <w:r w:rsidRPr="000D665C">
        <w:t xml:space="preserve">Please refer to </w:t>
      </w:r>
      <w:r w:rsidR="00441F74">
        <w:t>RBNZ’s</w:t>
      </w:r>
      <w:r w:rsidRPr="000D665C">
        <w:t xml:space="preserve"> policies on how we store and may share your information.</w:t>
      </w:r>
      <w:r w:rsidRPr="000D665C">
        <w:rPr>
          <w:vertAlign w:val="superscript"/>
        </w:rPr>
        <w:footnoteReference w:id="104"/>
      </w:r>
      <w:r w:rsidR="00326284">
        <w:t xml:space="preserve"> </w:t>
      </w:r>
      <w:r w:rsidRPr="000D665C">
        <w:t xml:space="preserve">If you would like part of your submission to remain confidential you should provide both a confidential and a public version of your submission. Apart from redactions of the information to be withheld (i.e., blacking out of text) the two versions should be identical. You should ensure that redacted information is not able to be recovered electronically from the document; the redacted version will be published as received. </w:t>
      </w:r>
    </w:p>
    <w:p w14:paraId="30217C21" w14:textId="7E4435AC" w:rsidR="000D665C" w:rsidRDefault="000D665C" w:rsidP="000D4362">
      <w:pPr>
        <w:spacing w:after="140" w:line="235" w:lineRule="auto"/>
      </w:pPr>
      <w:r w:rsidRPr="000D665C">
        <w:t>If you want all or part of your submission to be treated as confidential, you should provide reasons why this information should be withheld if a request is made for it under the Official Information Act 1982 (OIA). These reasons should refer to the grounds for withholding information under the OIA. If an OIA request for redacted information is made, we will make our own assessment of what must be released taking your views into account.</w:t>
      </w:r>
    </w:p>
    <w:p w14:paraId="5ACDC600" w14:textId="4ACAFC5F" w:rsidR="0077495A" w:rsidRPr="0077495A" w:rsidRDefault="00783661" w:rsidP="00517456">
      <w:pPr>
        <w:pStyle w:val="Heading1"/>
      </w:pPr>
      <w:bookmarkStart w:id="73" w:name="_Toc193437702"/>
      <w:bookmarkStart w:id="74" w:name="_Toc196208759"/>
      <w:r>
        <w:lastRenderedPageBreak/>
        <w:t>Annex</w:t>
      </w:r>
      <w:r w:rsidR="0077495A">
        <w:t xml:space="preserve"> One</w:t>
      </w:r>
      <w:r w:rsidR="0077495A" w:rsidRPr="0077495A">
        <w:t>: Interpretation</w:t>
      </w:r>
      <w:bookmarkEnd w:id="73"/>
      <w:bookmarkEnd w:id="74"/>
      <w:r w:rsidR="0077495A" w:rsidRPr="0077495A">
        <w:rPr>
          <w:rFonts w:ascii="Cambria" w:hAnsi="Cambria" w:cs="Cambria"/>
        </w:rPr>
        <w:t>  </w:t>
      </w:r>
    </w:p>
    <w:p w14:paraId="2331C85E" w14:textId="36F26FDA" w:rsidR="0077495A" w:rsidRPr="0077495A" w:rsidRDefault="0077495A" w:rsidP="00517456">
      <w:r w:rsidRPr="0077495A">
        <w:t xml:space="preserve">The table below outlines key terms that are used in this </w:t>
      </w:r>
      <w:r w:rsidR="005A4184">
        <w:t>I</w:t>
      </w:r>
      <w:r w:rsidR="005A4184" w:rsidRPr="0077495A">
        <w:t xml:space="preserve">ssues </w:t>
      </w:r>
      <w:r w:rsidR="005A4184">
        <w:t>P</w:t>
      </w:r>
      <w:r>
        <w:t>aper</w:t>
      </w:r>
      <w:r w:rsidRPr="0077495A">
        <w:t xml:space="preserve"> to describe access to transaction accounts, and varying levels of access that people have.</w:t>
      </w:r>
      <w:r w:rsidRPr="0077495A">
        <w:rPr>
          <w:rFonts w:ascii="Cambria" w:hAnsi="Cambria" w:cs="Cambria"/>
        </w:rPr>
        <w:t>  </w:t>
      </w:r>
    </w:p>
    <w:tbl>
      <w:tblPr>
        <w:tblStyle w:val="CoFR"/>
        <w:tblW w:w="5000" w:type="pct"/>
        <w:tblLook w:val="04A0" w:firstRow="1" w:lastRow="0" w:firstColumn="1" w:lastColumn="0" w:noHBand="0" w:noVBand="1"/>
      </w:tblPr>
      <w:tblGrid>
        <w:gridCol w:w="2267"/>
        <w:gridCol w:w="6803"/>
      </w:tblGrid>
      <w:tr w:rsidR="0077495A" w:rsidRPr="00517456" w14:paraId="4B914C38" w14:textId="77777777" w:rsidTr="000D4362">
        <w:trPr>
          <w:cnfStyle w:val="100000000000" w:firstRow="1" w:lastRow="0" w:firstColumn="0" w:lastColumn="0" w:oddVBand="0" w:evenVBand="0" w:oddHBand="0" w:evenHBand="0" w:firstRowFirstColumn="0" w:firstRowLastColumn="0" w:lastRowFirstColumn="0" w:lastRowLastColumn="0"/>
          <w:trHeight w:val="300"/>
        </w:trPr>
        <w:tc>
          <w:tcPr>
            <w:tcW w:w="1250" w:type="pct"/>
            <w:hideMark/>
          </w:tcPr>
          <w:p w14:paraId="47E073DF" w14:textId="77777777" w:rsidR="0077495A" w:rsidRPr="00517456" w:rsidRDefault="0077495A" w:rsidP="000D4362">
            <w:pPr>
              <w:keepLines/>
              <w:spacing w:beforeLines="0" w:afterLines="0" w:after="60"/>
            </w:pPr>
            <w:r w:rsidRPr="00517456">
              <w:t>Concept </w:t>
            </w:r>
          </w:p>
        </w:tc>
        <w:tc>
          <w:tcPr>
            <w:tcW w:w="3750" w:type="pct"/>
            <w:hideMark/>
          </w:tcPr>
          <w:p w14:paraId="08CA14EC" w14:textId="77777777" w:rsidR="0077495A" w:rsidRPr="00517456" w:rsidRDefault="0077495A" w:rsidP="000D4362">
            <w:pPr>
              <w:keepLines/>
              <w:spacing w:beforeLines="0" w:afterLines="0" w:after="60"/>
            </w:pPr>
            <w:r w:rsidRPr="00517456">
              <w:t>Description </w:t>
            </w:r>
          </w:p>
        </w:tc>
      </w:tr>
      <w:tr w:rsidR="0077495A" w:rsidRPr="0077495A" w14:paraId="12527D53" w14:textId="77777777" w:rsidTr="000D4362">
        <w:trPr>
          <w:cnfStyle w:val="000000100000" w:firstRow="0" w:lastRow="0" w:firstColumn="0" w:lastColumn="0" w:oddVBand="0" w:evenVBand="0" w:oddHBand="1" w:evenHBand="0" w:firstRowFirstColumn="0" w:firstRowLastColumn="0" w:lastRowFirstColumn="0" w:lastRowLastColumn="0"/>
          <w:trHeight w:val="300"/>
        </w:trPr>
        <w:tc>
          <w:tcPr>
            <w:tcW w:w="1250" w:type="pct"/>
            <w:hideMark/>
          </w:tcPr>
          <w:p w14:paraId="2025D9CF" w14:textId="2CEC8B17" w:rsidR="0077495A" w:rsidRPr="00517456" w:rsidRDefault="0077495A" w:rsidP="000D4362">
            <w:pPr>
              <w:keepLines/>
              <w:spacing w:beforeLines="0" w:afterLines="0" w:after="60"/>
            </w:pPr>
            <w:r w:rsidRPr="00517456">
              <w:t>Council of Financial Regulators (</w:t>
            </w:r>
            <w:r w:rsidR="005A4184" w:rsidRPr="00517456">
              <w:t xml:space="preserve">CoFR)  </w:t>
            </w:r>
          </w:p>
        </w:tc>
        <w:tc>
          <w:tcPr>
            <w:tcW w:w="3750" w:type="pct"/>
            <w:hideMark/>
          </w:tcPr>
          <w:p w14:paraId="6721AF64" w14:textId="40048C36" w:rsidR="0077495A" w:rsidRPr="0077495A" w:rsidRDefault="0077495A" w:rsidP="000D4362">
            <w:pPr>
              <w:keepLines/>
              <w:spacing w:beforeLines="0" w:afterLines="0" w:after="60"/>
              <w:rPr>
                <w:szCs w:val="20"/>
              </w:rPr>
            </w:pPr>
            <w:r w:rsidRPr="0077495A">
              <w:rPr>
                <w:szCs w:val="20"/>
              </w:rPr>
              <w:t xml:space="preserve">The Council of Financial Regulators (CoFR) </w:t>
            </w:r>
            <w:r w:rsidR="000202B7">
              <w:rPr>
                <w:szCs w:val="20"/>
              </w:rPr>
              <w:t>is made</w:t>
            </w:r>
            <w:r w:rsidR="00855220">
              <w:rPr>
                <w:szCs w:val="20"/>
              </w:rPr>
              <w:t xml:space="preserve"> up of five</w:t>
            </w:r>
            <w:r w:rsidRPr="0077495A">
              <w:rPr>
                <w:rFonts w:ascii="Cambria" w:hAnsi="Cambria" w:cs="Cambria"/>
                <w:szCs w:val="20"/>
              </w:rPr>
              <w:t> </w:t>
            </w:r>
            <w:r w:rsidRPr="0077495A">
              <w:rPr>
                <w:szCs w:val="20"/>
              </w:rPr>
              <w:t>agencies</w:t>
            </w:r>
            <w:r w:rsidR="002A6D93">
              <w:rPr>
                <w:szCs w:val="20"/>
              </w:rPr>
              <w:t xml:space="preserve"> </w:t>
            </w:r>
            <w:r w:rsidR="00E93FBE">
              <w:rPr>
                <w:szCs w:val="20"/>
              </w:rPr>
              <w:t>–</w:t>
            </w:r>
            <w:r w:rsidR="002A6D93">
              <w:rPr>
                <w:szCs w:val="20"/>
              </w:rPr>
              <w:t xml:space="preserve"> </w:t>
            </w:r>
            <w:r w:rsidR="00E93FBE">
              <w:rPr>
                <w:szCs w:val="20"/>
              </w:rPr>
              <w:t>Reserve Bank of New Zealand, Financial Markets Authority, Commerce Commission,</w:t>
            </w:r>
            <w:r w:rsidR="00E64605">
              <w:rPr>
                <w:szCs w:val="20"/>
              </w:rPr>
              <w:t xml:space="preserve"> </w:t>
            </w:r>
            <w:r w:rsidR="00AC6EFB" w:rsidRPr="00AC6EFB">
              <w:rPr>
                <w:szCs w:val="20"/>
              </w:rPr>
              <w:t>Ministry of Business, Innovation and Employment</w:t>
            </w:r>
            <w:r w:rsidR="00AC6EFB">
              <w:rPr>
                <w:szCs w:val="20"/>
              </w:rPr>
              <w:t>, and t</w:t>
            </w:r>
            <w:r w:rsidR="00AC6EFB" w:rsidRPr="00AC6EFB">
              <w:rPr>
                <w:szCs w:val="20"/>
              </w:rPr>
              <w:t>he Treasury</w:t>
            </w:r>
            <w:r w:rsidR="00AC6EFB">
              <w:rPr>
                <w:szCs w:val="20"/>
              </w:rPr>
              <w:t xml:space="preserve"> who </w:t>
            </w:r>
            <w:r w:rsidRPr="0077495A">
              <w:rPr>
                <w:szCs w:val="20"/>
              </w:rPr>
              <w:t>work together on matters of joint interest. CoFR contributes to responsive and coordinated financial system regulation.</w:t>
            </w:r>
            <w:r w:rsidRPr="0077495A">
              <w:rPr>
                <w:rFonts w:ascii="Cambria" w:hAnsi="Cambria" w:cs="Cambria"/>
                <w:szCs w:val="20"/>
              </w:rPr>
              <w:t>  </w:t>
            </w:r>
          </w:p>
        </w:tc>
      </w:tr>
      <w:tr w:rsidR="0077495A" w:rsidRPr="0077495A" w14:paraId="3D9427FC" w14:textId="77777777" w:rsidTr="000D4362">
        <w:trPr>
          <w:cnfStyle w:val="000000010000" w:firstRow="0" w:lastRow="0" w:firstColumn="0" w:lastColumn="0" w:oddVBand="0" w:evenVBand="0" w:oddHBand="0" w:evenHBand="1" w:firstRowFirstColumn="0" w:firstRowLastColumn="0" w:lastRowFirstColumn="0" w:lastRowLastColumn="0"/>
          <w:trHeight w:val="300"/>
        </w:trPr>
        <w:tc>
          <w:tcPr>
            <w:tcW w:w="1250" w:type="pct"/>
            <w:hideMark/>
          </w:tcPr>
          <w:p w14:paraId="019EA582" w14:textId="77777777" w:rsidR="0077495A" w:rsidRPr="00517456" w:rsidRDefault="0077495A" w:rsidP="000D4362">
            <w:pPr>
              <w:keepLines/>
              <w:spacing w:beforeLines="0" w:afterLines="0" w:after="60"/>
            </w:pPr>
            <w:r w:rsidRPr="00517456">
              <w:t>CoFR Financial Inclusion Community of Practice (CoFR FI) </w:t>
            </w:r>
          </w:p>
        </w:tc>
        <w:tc>
          <w:tcPr>
            <w:tcW w:w="3750" w:type="pct"/>
            <w:hideMark/>
          </w:tcPr>
          <w:p w14:paraId="3E402339" w14:textId="4A5FA97D" w:rsidR="0077495A" w:rsidRPr="0077495A" w:rsidRDefault="0077495A" w:rsidP="000D4362">
            <w:pPr>
              <w:keepLines/>
              <w:spacing w:beforeLines="0" w:afterLines="0" w:after="60"/>
              <w:rPr>
                <w:szCs w:val="20"/>
              </w:rPr>
            </w:pPr>
            <w:r w:rsidRPr="0077495A">
              <w:rPr>
                <w:szCs w:val="20"/>
              </w:rPr>
              <w:t>CoFR FI is composed of representatives of financial regulators, the Treasury and observer agencies (including the Ministry for Social Development and the Retirement Commission Te Ara Ahunga Ora). In early 2024, we released an overview of our agency roles and responsibilities, examples of key stakeholders and our vision.</w:t>
            </w:r>
            <w:r w:rsidRPr="0077495A">
              <w:rPr>
                <w:rFonts w:ascii="Cambria" w:hAnsi="Cambria" w:cs="Cambria"/>
                <w:szCs w:val="20"/>
              </w:rPr>
              <w:t> </w:t>
            </w:r>
          </w:p>
        </w:tc>
      </w:tr>
      <w:tr w:rsidR="0077495A" w:rsidRPr="0077495A" w14:paraId="0F8C7045" w14:textId="77777777" w:rsidTr="000D4362">
        <w:trPr>
          <w:cnfStyle w:val="000000100000" w:firstRow="0" w:lastRow="0" w:firstColumn="0" w:lastColumn="0" w:oddVBand="0" w:evenVBand="0" w:oddHBand="1" w:evenHBand="0" w:firstRowFirstColumn="0" w:firstRowLastColumn="0" w:lastRowFirstColumn="0" w:lastRowLastColumn="0"/>
          <w:trHeight w:val="300"/>
        </w:trPr>
        <w:tc>
          <w:tcPr>
            <w:tcW w:w="1250" w:type="pct"/>
            <w:hideMark/>
          </w:tcPr>
          <w:p w14:paraId="77CED186" w14:textId="77777777" w:rsidR="0077495A" w:rsidRPr="00517456" w:rsidRDefault="0077495A" w:rsidP="000D4362">
            <w:pPr>
              <w:keepLines/>
              <w:spacing w:beforeLines="0" w:afterLines="0" w:after="60"/>
            </w:pPr>
            <w:r w:rsidRPr="00517456">
              <w:t>Financial inclusion  </w:t>
            </w:r>
          </w:p>
        </w:tc>
        <w:tc>
          <w:tcPr>
            <w:tcW w:w="3750" w:type="pct"/>
            <w:hideMark/>
          </w:tcPr>
          <w:p w14:paraId="5448FFDC" w14:textId="595C8A4F" w:rsidR="0077495A" w:rsidRPr="0077495A" w:rsidRDefault="0077495A" w:rsidP="000D4362">
            <w:pPr>
              <w:keepLines/>
              <w:spacing w:beforeLines="0" w:afterLines="0" w:after="60"/>
              <w:rPr>
                <w:szCs w:val="20"/>
              </w:rPr>
            </w:pPr>
            <w:r w:rsidRPr="0077495A">
              <w:rPr>
                <w:szCs w:val="20"/>
              </w:rPr>
              <w:t>CoFR FI has adopted the World Bank definition of financial inclusion for the purposes of our work: “</w:t>
            </w:r>
            <w:r w:rsidRPr="0077495A">
              <w:rPr>
                <w:i/>
                <w:iCs/>
                <w:szCs w:val="20"/>
              </w:rPr>
              <w:t>when individuals and businesses have access to useful and affordable financial products and services that meet their needs – transactions, payments, savings, credit and insurance – delivered in a responsible and sustainable way”</w:t>
            </w:r>
            <w:r w:rsidRPr="0077495A">
              <w:rPr>
                <w:szCs w:val="20"/>
              </w:rPr>
              <w:t>.</w:t>
            </w:r>
            <w:r w:rsidRPr="0077495A">
              <w:rPr>
                <w:rFonts w:ascii="Cambria" w:hAnsi="Cambria" w:cs="Cambria"/>
                <w:szCs w:val="20"/>
              </w:rPr>
              <w:t> </w:t>
            </w:r>
          </w:p>
        </w:tc>
      </w:tr>
      <w:tr w:rsidR="0077495A" w:rsidRPr="0077495A" w14:paraId="79FA0F3D" w14:textId="77777777" w:rsidTr="000D4362">
        <w:trPr>
          <w:cnfStyle w:val="000000010000" w:firstRow="0" w:lastRow="0" w:firstColumn="0" w:lastColumn="0" w:oddVBand="0" w:evenVBand="0" w:oddHBand="0" w:evenHBand="1" w:firstRowFirstColumn="0" w:firstRowLastColumn="0" w:lastRowFirstColumn="0" w:lastRowLastColumn="0"/>
          <w:trHeight w:val="300"/>
        </w:trPr>
        <w:tc>
          <w:tcPr>
            <w:tcW w:w="1250" w:type="pct"/>
            <w:hideMark/>
          </w:tcPr>
          <w:p w14:paraId="19BBB646" w14:textId="77777777" w:rsidR="0077495A" w:rsidRPr="00517456" w:rsidRDefault="0077495A" w:rsidP="000D4362">
            <w:pPr>
              <w:keepLines/>
              <w:spacing w:beforeLines="0" w:afterLines="0" w:after="60"/>
            </w:pPr>
            <w:r w:rsidRPr="00517456">
              <w:t>Financial exclusion </w:t>
            </w:r>
          </w:p>
        </w:tc>
        <w:tc>
          <w:tcPr>
            <w:tcW w:w="3750" w:type="pct"/>
            <w:hideMark/>
          </w:tcPr>
          <w:p w14:paraId="514C5F8A" w14:textId="4E32CDD1" w:rsidR="0077495A" w:rsidRPr="0077495A" w:rsidRDefault="0077495A" w:rsidP="000D4362">
            <w:pPr>
              <w:keepLines/>
              <w:spacing w:beforeLines="0" w:afterLines="0" w:after="60"/>
              <w:rPr>
                <w:szCs w:val="20"/>
              </w:rPr>
            </w:pPr>
            <w:r w:rsidRPr="0077495A">
              <w:rPr>
                <w:szCs w:val="20"/>
              </w:rPr>
              <w:t>Financial exclusion refers</w:t>
            </w:r>
            <w:r w:rsidRPr="0077495A">
              <w:rPr>
                <w:rFonts w:ascii="Times New Roman" w:hAnsi="Times New Roman" w:cs="Times New Roman"/>
                <w:szCs w:val="20"/>
              </w:rPr>
              <w:t> </w:t>
            </w:r>
            <w:r w:rsidRPr="0077495A">
              <w:rPr>
                <w:szCs w:val="20"/>
              </w:rPr>
              <w:t>to individuals and populations without access to financial products and services. This can include people who face structural barriers and people who have lost access (for example, had an existing transaction account closed).</w:t>
            </w:r>
            <w:r w:rsidRPr="0077495A">
              <w:rPr>
                <w:rFonts w:ascii="Cambria" w:hAnsi="Cambria" w:cs="Cambria"/>
                <w:szCs w:val="20"/>
              </w:rPr>
              <w:t>   </w:t>
            </w:r>
          </w:p>
        </w:tc>
      </w:tr>
      <w:tr w:rsidR="0077495A" w:rsidRPr="0077495A" w14:paraId="03DDB5E5" w14:textId="77777777" w:rsidTr="000D4362">
        <w:trPr>
          <w:cnfStyle w:val="000000100000" w:firstRow="0" w:lastRow="0" w:firstColumn="0" w:lastColumn="0" w:oddVBand="0" w:evenVBand="0" w:oddHBand="1" w:evenHBand="0" w:firstRowFirstColumn="0" w:firstRowLastColumn="0" w:lastRowFirstColumn="0" w:lastRowLastColumn="0"/>
          <w:trHeight w:val="300"/>
        </w:trPr>
        <w:tc>
          <w:tcPr>
            <w:tcW w:w="1250" w:type="pct"/>
            <w:hideMark/>
          </w:tcPr>
          <w:p w14:paraId="09279CC3" w14:textId="77777777" w:rsidR="0077495A" w:rsidRPr="00517456" w:rsidRDefault="0077495A" w:rsidP="000D4362">
            <w:pPr>
              <w:keepLines/>
              <w:spacing w:beforeLines="0" w:afterLines="0" w:after="60"/>
            </w:pPr>
            <w:r w:rsidRPr="00517456">
              <w:t>Transaction account  </w:t>
            </w:r>
          </w:p>
        </w:tc>
        <w:tc>
          <w:tcPr>
            <w:tcW w:w="3750" w:type="pct"/>
            <w:hideMark/>
          </w:tcPr>
          <w:p w14:paraId="4FB59338" w14:textId="26D15ACB" w:rsidR="0077495A" w:rsidRPr="0077495A" w:rsidRDefault="0077495A" w:rsidP="000D4362">
            <w:pPr>
              <w:keepLines/>
              <w:spacing w:beforeLines="0" w:afterLines="0" w:after="60"/>
              <w:rPr>
                <w:szCs w:val="20"/>
              </w:rPr>
            </w:pPr>
            <w:r w:rsidRPr="0077495A">
              <w:rPr>
                <w:szCs w:val="20"/>
              </w:rPr>
              <w:t xml:space="preserve">A transaction account refers to a New Zealand dollar financial account that meets peoples’ transactional needs (e.g. payments and withdrawals). This term is used in this </w:t>
            </w:r>
            <w:r w:rsidR="000A4E46">
              <w:rPr>
                <w:szCs w:val="20"/>
              </w:rPr>
              <w:t>I</w:t>
            </w:r>
            <w:r w:rsidR="000A4E46" w:rsidRPr="0077495A">
              <w:rPr>
                <w:szCs w:val="20"/>
              </w:rPr>
              <w:t xml:space="preserve">ssues </w:t>
            </w:r>
            <w:r w:rsidR="000A4E46">
              <w:rPr>
                <w:szCs w:val="20"/>
              </w:rPr>
              <w:t>P</w:t>
            </w:r>
            <w:r w:rsidR="000A4E46" w:rsidRPr="0077495A">
              <w:rPr>
                <w:szCs w:val="20"/>
              </w:rPr>
              <w:t xml:space="preserve">aper </w:t>
            </w:r>
            <w:r w:rsidRPr="0077495A">
              <w:rPr>
                <w:szCs w:val="20"/>
              </w:rPr>
              <w:t xml:space="preserve">(rather than ‘bank account’) as transaction accounts are provided by a range of entities including banks, credit unions, building societies and </w:t>
            </w:r>
            <w:r w:rsidR="000A4E46" w:rsidRPr="0077495A">
              <w:rPr>
                <w:szCs w:val="20"/>
              </w:rPr>
              <w:t>FinTech’s</w:t>
            </w:r>
            <w:r w:rsidRPr="0077495A">
              <w:rPr>
                <w:szCs w:val="20"/>
              </w:rPr>
              <w:t xml:space="preserve">. </w:t>
            </w:r>
            <w:r w:rsidRPr="0077495A">
              <w:rPr>
                <w:rFonts w:ascii="Cambria" w:hAnsi="Cambria" w:cs="Cambria"/>
                <w:szCs w:val="20"/>
              </w:rPr>
              <w:t> </w:t>
            </w:r>
          </w:p>
        </w:tc>
      </w:tr>
      <w:tr w:rsidR="0077495A" w:rsidRPr="0077495A" w14:paraId="1F2CBC48" w14:textId="77777777" w:rsidTr="000D4362">
        <w:trPr>
          <w:cnfStyle w:val="000000010000" w:firstRow="0" w:lastRow="0" w:firstColumn="0" w:lastColumn="0" w:oddVBand="0" w:evenVBand="0" w:oddHBand="0" w:evenHBand="1" w:firstRowFirstColumn="0" w:firstRowLastColumn="0" w:lastRowFirstColumn="0" w:lastRowLastColumn="0"/>
          <w:trHeight w:val="300"/>
        </w:trPr>
        <w:tc>
          <w:tcPr>
            <w:tcW w:w="1250" w:type="pct"/>
            <w:hideMark/>
          </w:tcPr>
          <w:p w14:paraId="6139AE5A" w14:textId="77777777" w:rsidR="0077495A" w:rsidRPr="00517456" w:rsidRDefault="0077495A" w:rsidP="000D4362">
            <w:pPr>
              <w:keepLines/>
              <w:spacing w:beforeLines="0" w:afterLines="0" w:after="60"/>
            </w:pPr>
            <w:r w:rsidRPr="00517456">
              <w:t>Simplified or basic transaction account  </w:t>
            </w:r>
          </w:p>
        </w:tc>
        <w:tc>
          <w:tcPr>
            <w:tcW w:w="3750" w:type="pct"/>
            <w:hideMark/>
          </w:tcPr>
          <w:p w14:paraId="7CE2ADA6" w14:textId="77777777" w:rsidR="0077495A" w:rsidRPr="0077495A" w:rsidRDefault="0077495A" w:rsidP="000D4362">
            <w:pPr>
              <w:keepLines/>
              <w:spacing w:beforeLines="0" w:afterLines="0" w:after="60"/>
              <w:rPr>
                <w:szCs w:val="20"/>
              </w:rPr>
            </w:pPr>
            <w:r w:rsidRPr="0077495A">
              <w:rPr>
                <w:szCs w:val="20"/>
              </w:rPr>
              <w:t xml:space="preserve">The terms </w:t>
            </w:r>
            <w:r w:rsidRPr="0077495A">
              <w:rPr>
                <w:i/>
                <w:iCs/>
                <w:szCs w:val="20"/>
              </w:rPr>
              <w:t>simplified</w:t>
            </w:r>
            <w:r w:rsidRPr="0077495A">
              <w:rPr>
                <w:szCs w:val="20"/>
              </w:rPr>
              <w:t xml:space="preserve"> or </w:t>
            </w:r>
            <w:r w:rsidRPr="0077495A">
              <w:rPr>
                <w:i/>
                <w:iCs/>
                <w:szCs w:val="20"/>
              </w:rPr>
              <w:t>basic</w:t>
            </w:r>
            <w:r w:rsidRPr="0077495A">
              <w:rPr>
                <w:szCs w:val="20"/>
              </w:rPr>
              <w:t xml:space="preserve"> transaction accounts are used to describe a transaction account that has reduced functionality and simplified on-boarding requirements to best meet the needs of customers who may struggle to open traditional transaction accounts.</w:t>
            </w:r>
            <w:r w:rsidRPr="0077495A">
              <w:rPr>
                <w:rFonts w:ascii="Cambria" w:hAnsi="Cambria" w:cs="Cambria"/>
                <w:szCs w:val="20"/>
              </w:rPr>
              <w:t>  </w:t>
            </w:r>
          </w:p>
        </w:tc>
      </w:tr>
      <w:tr w:rsidR="0077495A" w:rsidRPr="0077495A" w14:paraId="5B2802A4" w14:textId="77777777" w:rsidTr="000D4362">
        <w:trPr>
          <w:cnfStyle w:val="000000100000" w:firstRow="0" w:lastRow="0" w:firstColumn="0" w:lastColumn="0" w:oddVBand="0" w:evenVBand="0" w:oddHBand="1" w:evenHBand="0" w:firstRowFirstColumn="0" w:firstRowLastColumn="0" w:lastRowFirstColumn="0" w:lastRowLastColumn="0"/>
          <w:trHeight w:val="300"/>
        </w:trPr>
        <w:tc>
          <w:tcPr>
            <w:tcW w:w="1250" w:type="pct"/>
            <w:hideMark/>
          </w:tcPr>
          <w:p w14:paraId="123FDD1E" w14:textId="77777777" w:rsidR="0077495A" w:rsidRPr="00517456" w:rsidRDefault="0077495A" w:rsidP="000D4362">
            <w:pPr>
              <w:keepLines/>
              <w:spacing w:beforeLines="0" w:afterLines="0" w:after="60"/>
            </w:pPr>
            <w:r w:rsidRPr="00517456">
              <w:t>Vulnerable customers </w:t>
            </w:r>
          </w:p>
        </w:tc>
        <w:tc>
          <w:tcPr>
            <w:tcW w:w="3750" w:type="pct"/>
            <w:hideMark/>
          </w:tcPr>
          <w:p w14:paraId="37127BE6" w14:textId="3A778934" w:rsidR="0077495A" w:rsidRPr="0077495A" w:rsidRDefault="0077495A" w:rsidP="000D4362">
            <w:pPr>
              <w:keepLines/>
              <w:spacing w:beforeLines="0" w:afterLines="0" w:after="60"/>
              <w:rPr>
                <w:szCs w:val="20"/>
              </w:rPr>
            </w:pPr>
            <w:r w:rsidRPr="0077495A">
              <w:rPr>
                <w:szCs w:val="20"/>
              </w:rPr>
              <w:t>This term refers to people who, due to their personal circumstances, could be at greater risk of experiencing harm in their interactions with financial entities as per the CoFR Consumer Vulnerability Framework.</w:t>
            </w:r>
            <w:r w:rsidRPr="0077495A">
              <w:rPr>
                <w:rFonts w:ascii="Cambria" w:hAnsi="Cambria" w:cs="Cambria"/>
                <w:szCs w:val="20"/>
              </w:rPr>
              <w:t> </w:t>
            </w:r>
          </w:p>
        </w:tc>
      </w:tr>
      <w:tr w:rsidR="0077495A" w:rsidRPr="0077495A" w14:paraId="50748BA8" w14:textId="77777777" w:rsidTr="000D4362">
        <w:trPr>
          <w:cnfStyle w:val="000000010000" w:firstRow="0" w:lastRow="0" w:firstColumn="0" w:lastColumn="0" w:oddVBand="0" w:evenVBand="0" w:oddHBand="0" w:evenHBand="1" w:firstRowFirstColumn="0" w:firstRowLastColumn="0" w:lastRowFirstColumn="0" w:lastRowLastColumn="0"/>
          <w:trHeight w:val="300"/>
        </w:trPr>
        <w:tc>
          <w:tcPr>
            <w:tcW w:w="1250" w:type="pct"/>
            <w:hideMark/>
          </w:tcPr>
          <w:p w14:paraId="28FA307C" w14:textId="16D756B3" w:rsidR="0077495A" w:rsidRPr="00517456" w:rsidRDefault="0077495A" w:rsidP="000D4362">
            <w:pPr>
              <w:keepLines/>
              <w:spacing w:beforeLines="0" w:afterLines="0" w:after="60"/>
            </w:pPr>
            <w:r w:rsidRPr="00517456">
              <w:t>Unbanked  </w:t>
            </w:r>
          </w:p>
        </w:tc>
        <w:tc>
          <w:tcPr>
            <w:tcW w:w="3750" w:type="pct"/>
            <w:hideMark/>
          </w:tcPr>
          <w:p w14:paraId="2122D5E6" w14:textId="77777777" w:rsidR="0077495A" w:rsidRPr="0077495A" w:rsidRDefault="0077495A" w:rsidP="000D4362">
            <w:pPr>
              <w:keepLines/>
              <w:spacing w:beforeLines="0" w:afterLines="0" w:after="60"/>
              <w:rPr>
                <w:szCs w:val="20"/>
              </w:rPr>
            </w:pPr>
            <w:r w:rsidRPr="0077495A">
              <w:rPr>
                <w:szCs w:val="20"/>
              </w:rPr>
              <w:t>This term refers to individuals who do not have access to the mainstream financial system (e.g.,</w:t>
            </w:r>
            <w:r w:rsidRPr="0077495A">
              <w:rPr>
                <w:rFonts w:ascii="Times New Roman" w:hAnsi="Times New Roman" w:cs="Times New Roman"/>
                <w:szCs w:val="20"/>
              </w:rPr>
              <w:t> </w:t>
            </w:r>
            <w:r w:rsidRPr="0077495A">
              <w:rPr>
                <w:szCs w:val="20"/>
              </w:rPr>
              <w:t>banks</w:t>
            </w:r>
            <w:r w:rsidRPr="0077495A">
              <w:rPr>
                <w:rFonts w:ascii="Times New Roman" w:hAnsi="Times New Roman" w:cs="Times New Roman"/>
                <w:szCs w:val="20"/>
              </w:rPr>
              <w:t> </w:t>
            </w:r>
            <w:r w:rsidRPr="0077495A">
              <w:rPr>
                <w:szCs w:val="20"/>
              </w:rPr>
              <w:t>or</w:t>
            </w:r>
            <w:r w:rsidRPr="0077495A">
              <w:rPr>
                <w:rFonts w:ascii="Times New Roman" w:hAnsi="Times New Roman" w:cs="Times New Roman"/>
                <w:szCs w:val="20"/>
              </w:rPr>
              <w:t> </w:t>
            </w:r>
            <w:r w:rsidRPr="0077495A">
              <w:rPr>
                <w:szCs w:val="20"/>
              </w:rPr>
              <w:t>credit unions).</w:t>
            </w:r>
            <w:r w:rsidRPr="0077495A">
              <w:rPr>
                <w:rFonts w:ascii="Times New Roman" w:hAnsi="Times New Roman" w:cs="Times New Roman"/>
                <w:szCs w:val="20"/>
              </w:rPr>
              <w:t> </w:t>
            </w:r>
            <w:r w:rsidRPr="0077495A">
              <w:rPr>
                <w:szCs w:val="20"/>
              </w:rPr>
              <w:t>People that are unbanked</w:t>
            </w:r>
            <w:r w:rsidRPr="0077495A">
              <w:rPr>
                <w:rFonts w:ascii="Times New Roman" w:hAnsi="Times New Roman" w:cs="Times New Roman"/>
                <w:szCs w:val="20"/>
              </w:rPr>
              <w:t> </w:t>
            </w:r>
            <w:r w:rsidRPr="0077495A">
              <w:rPr>
                <w:szCs w:val="20"/>
              </w:rPr>
              <w:t>rely on</w:t>
            </w:r>
            <w:r w:rsidRPr="0077495A">
              <w:rPr>
                <w:rFonts w:ascii="Times New Roman" w:hAnsi="Times New Roman" w:cs="Times New Roman"/>
                <w:szCs w:val="20"/>
              </w:rPr>
              <w:t> </w:t>
            </w:r>
            <w:r w:rsidRPr="0077495A">
              <w:rPr>
                <w:szCs w:val="20"/>
              </w:rPr>
              <w:t>alternative products and services to meet their financial needs (e.g., cash).</w:t>
            </w:r>
            <w:r w:rsidRPr="0077495A">
              <w:rPr>
                <w:rFonts w:ascii="Cambria" w:hAnsi="Cambria" w:cs="Cambria"/>
                <w:szCs w:val="20"/>
              </w:rPr>
              <w:t>  </w:t>
            </w:r>
          </w:p>
        </w:tc>
      </w:tr>
      <w:tr w:rsidR="0077495A" w:rsidRPr="0077495A" w14:paraId="2FF4A6BE" w14:textId="77777777" w:rsidTr="000D4362">
        <w:trPr>
          <w:cnfStyle w:val="000000100000" w:firstRow="0" w:lastRow="0" w:firstColumn="0" w:lastColumn="0" w:oddVBand="0" w:evenVBand="0" w:oddHBand="1" w:evenHBand="0" w:firstRowFirstColumn="0" w:firstRowLastColumn="0" w:lastRowFirstColumn="0" w:lastRowLastColumn="0"/>
          <w:trHeight w:val="300"/>
        </w:trPr>
        <w:tc>
          <w:tcPr>
            <w:tcW w:w="1250" w:type="pct"/>
            <w:hideMark/>
          </w:tcPr>
          <w:p w14:paraId="221E813A" w14:textId="3665D0C0" w:rsidR="0077495A" w:rsidRPr="00517456" w:rsidRDefault="0077495A" w:rsidP="000D4362">
            <w:pPr>
              <w:keepLines/>
              <w:spacing w:beforeLines="0" w:afterLines="0" w:after="60"/>
            </w:pPr>
            <w:r w:rsidRPr="00517456">
              <w:t>Underserved</w:t>
            </w:r>
            <w:r w:rsidR="00A21F98" w:rsidRPr="00517456">
              <w:t xml:space="preserve"> or unserved</w:t>
            </w:r>
            <w:r w:rsidRPr="00517456">
              <w:t xml:space="preserve"> </w:t>
            </w:r>
          </w:p>
        </w:tc>
        <w:tc>
          <w:tcPr>
            <w:tcW w:w="3750" w:type="pct"/>
            <w:hideMark/>
          </w:tcPr>
          <w:p w14:paraId="075055B5" w14:textId="77777777" w:rsidR="0077495A" w:rsidRPr="0077495A" w:rsidRDefault="0077495A" w:rsidP="000D4362">
            <w:pPr>
              <w:keepLines/>
              <w:spacing w:beforeLines="0" w:afterLines="0" w:after="60"/>
              <w:rPr>
                <w:szCs w:val="20"/>
              </w:rPr>
            </w:pPr>
            <w:r w:rsidRPr="0077495A">
              <w:rPr>
                <w:szCs w:val="20"/>
              </w:rPr>
              <w:t>This term refers to people who have limited access to financial products and services, and face barriers that can limit their participation in the financial system (such as being geographically isolated).</w:t>
            </w:r>
            <w:r w:rsidRPr="0077495A">
              <w:rPr>
                <w:rFonts w:ascii="Cambria" w:hAnsi="Cambria" w:cs="Cambria"/>
                <w:szCs w:val="20"/>
              </w:rPr>
              <w:t>   </w:t>
            </w:r>
          </w:p>
        </w:tc>
      </w:tr>
    </w:tbl>
    <w:p w14:paraId="6FC70AB1" w14:textId="75D6373C" w:rsidR="00006C2C" w:rsidRDefault="00006C2C" w:rsidP="00FA3012">
      <w:pPr>
        <w:pStyle w:val="ListNumber"/>
        <w:numPr>
          <w:ilvl w:val="0"/>
          <w:numId w:val="0"/>
        </w:numPr>
        <w:ind w:left="340" w:hanging="340"/>
      </w:pPr>
    </w:p>
    <w:p w14:paraId="7BA448F8" w14:textId="77777777" w:rsidR="00FD6C2E" w:rsidRDefault="00FD6C2E" w:rsidP="00FA3012">
      <w:pPr>
        <w:pStyle w:val="ListNumber"/>
        <w:numPr>
          <w:ilvl w:val="0"/>
          <w:numId w:val="0"/>
        </w:numPr>
        <w:ind w:left="340" w:hanging="340"/>
      </w:pPr>
    </w:p>
    <w:p w14:paraId="3F86BF13" w14:textId="77777777" w:rsidR="00FD6C2E" w:rsidRDefault="00FD6C2E" w:rsidP="00FD6C2E">
      <w:pPr>
        <w:pStyle w:val="Heading1"/>
        <w:rPr>
          <w:rFonts w:ascii="Cambria" w:hAnsi="Cambria" w:cs="Cambria"/>
        </w:rPr>
      </w:pPr>
      <w:bookmarkStart w:id="75" w:name="_Toc193437703"/>
      <w:bookmarkStart w:id="76" w:name="_Toc196208760"/>
      <w:bookmarkStart w:id="77" w:name="_Hlk195798705"/>
      <w:r w:rsidRPr="00FD6C2E">
        <w:lastRenderedPageBreak/>
        <w:t>Annex Two: Consultation Questions</w:t>
      </w:r>
      <w:bookmarkEnd w:id="75"/>
      <w:bookmarkEnd w:id="76"/>
      <w:r w:rsidRPr="0077495A">
        <w:rPr>
          <w:rFonts w:ascii="Cambria" w:hAnsi="Cambria" w:cs="Cambria"/>
        </w:rPr>
        <w:t> </w:t>
      </w:r>
    </w:p>
    <w:p w14:paraId="18088833" w14:textId="77777777" w:rsidR="0032134C" w:rsidRPr="002C2169" w:rsidRDefault="0032134C" w:rsidP="0032134C">
      <w:pPr>
        <w:pStyle w:val="ListNumber"/>
        <w:numPr>
          <w:ilvl w:val="0"/>
          <w:numId w:val="0"/>
        </w:numPr>
      </w:pPr>
      <w:r w:rsidRPr="002C2169">
        <w:t xml:space="preserve">We encourage submissions via Citizen Space. For more information and to make an online submission please see: </w:t>
      </w:r>
      <w:hyperlink r:id="rId25" w:history="1">
        <w:r w:rsidRPr="00720D43">
          <w:rPr>
            <w:rStyle w:val="Hyperlink"/>
          </w:rPr>
          <w:t>https://www.rbnz.govt.nz/have-your-say</w:t>
        </w:r>
      </w:hyperlink>
      <w:r>
        <w:t xml:space="preserve">. </w:t>
      </w:r>
    </w:p>
    <w:p w14:paraId="1A5DBBCF" w14:textId="77777777" w:rsidR="0032134C" w:rsidRPr="00616618" w:rsidRDefault="0032134C" w:rsidP="0032134C">
      <w:pPr>
        <w:pStyle w:val="ListNumber"/>
        <w:numPr>
          <w:ilvl w:val="0"/>
          <w:numId w:val="0"/>
        </w:numPr>
        <w:ind w:left="340" w:hanging="340"/>
        <w:rPr>
          <w:b/>
          <w:bCs/>
        </w:rPr>
      </w:pPr>
      <w:bookmarkStart w:id="78" w:name="_Hlk196207870"/>
      <w:r w:rsidRPr="023E5CC1">
        <w:rPr>
          <w:b/>
          <w:bCs/>
        </w:rPr>
        <w:t>Questions for engagement:</w:t>
      </w:r>
    </w:p>
    <w:p w14:paraId="18FABF48" w14:textId="77777777" w:rsidR="0032134C" w:rsidRPr="0032134C" w:rsidRDefault="0032134C" w:rsidP="0032134C">
      <w:pPr>
        <w:pStyle w:val="ListNumber"/>
        <w:numPr>
          <w:ilvl w:val="0"/>
          <w:numId w:val="34"/>
        </w:numPr>
        <w:rPr>
          <w:rFonts w:cstheme="minorHAnsi"/>
        </w:rPr>
      </w:pPr>
      <w:r w:rsidRPr="0032134C">
        <w:rPr>
          <w:rFonts w:cstheme="minorHAnsi"/>
        </w:rPr>
        <w:t>Do you agree this Issues Paper identifies the key problems associated with access to transaction accounts in Aotearoa New Zealand?</w:t>
      </w:r>
    </w:p>
    <w:p w14:paraId="6688E0C8" w14:textId="77777777" w:rsidR="0032134C" w:rsidRDefault="0032134C" w:rsidP="0032134C">
      <w:pPr>
        <w:pStyle w:val="ListNumber"/>
      </w:pPr>
      <w:r w:rsidRPr="77D16EE0">
        <w:t xml:space="preserve">Do you agree </w:t>
      </w:r>
      <w:r w:rsidRPr="38593E06">
        <w:t>that</w:t>
      </w:r>
      <w:r w:rsidRPr="77D16EE0">
        <w:t xml:space="preserve"> </w:t>
      </w:r>
      <w:r w:rsidRPr="7581C58F">
        <w:t xml:space="preserve">efforts </w:t>
      </w:r>
      <w:r w:rsidRPr="38593E06">
        <w:t>should be</w:t>
      </w:r>
      <w:r w:rsidRPr="6396E5D1">
        <w:t xml:space="preserve"> taken </w:t>
      </w:r>
      <w:r w:rsidRPr="7581C58F">
        <w:t xml:space="preserve">by </w:t>
      </w:r>
      <w:r w:rsidRPr="2D333AF5">
        <w:t>banks and regulators</w:t>
      </w:r>
      <w:r w:rsidRPr="77D16EE0">
        <w:t xml:space="preserve"> to improve access to transaction accounts in Aotearoa New Zealand?</w:t>
      </w:r>
    </w:p>
    <w:p w14:paraId="2C243844" w14:textId="6A8143AA" w:rsidR="0032134C" w:rsidRPr="006C37A9" w:rsidRDefault="0032134C" w:rsidP="0032134C">
      <w:pPr>
        <w:pStyle w:val="ListNumber"/>
      </w:pPr>
      <w:r w:rsidRPr="38F32CE0">
        <w:t xml:space="preserve">Do you agree with the definition of a </w:t>
      </w:r>
      <w:r w:rsidRPr="38F32CE0">
        <w:rPr>
          <w:i/>
          <w:iCs/>
        </w:rPr>
        <w:t>basic transaction account</w:t>
      </w:r>
      <w:r w:rsidRPr="38F32CE0">
        <w:t xml:space="preserve"> used in this Issues Paper?</w:t>
      </w:r>
    </w:p>
    <w:p w14:paraId="048F59DB" w14:textId="77777777" w:rsidR="0032134C" w:rsidRDefault="0032134C" w:rsidP="0032134C">
      <w:pPr>
        <w:pStyle w:val="ListNumber"/>
        <w:numPr>
          <w:ilvl w:val="0"/>
          <w:numId w:val="2"/>
        </w:numPr>
        <w:rPr>
          <w:rFonts w:cstheme="minorHAnsi"/>
        </w:rPr>
      </w:pPr>
      <w:r>
        <w:rPr>
          <w:rFonts w:cstheme="minorHAnsi"/>
        </w:rPr>
        <w:t>D</w:t>
      </w:r>
      <w:r w:rsidRPr="006C37A9">
        <w:rPr>
          <w:rFonts w:cstheme="minorHAnsi"/>
        </w:rPr>
        <w:t xml:space="preserve">o you agree with our objective to improve access to transaction accounts through promoting the widespread availability of </w:t>
      </w:r>
      <w:r w:rsidRPr="006C37A9">
        <w:rPr>
          <w:rFonts w:cstheme="minorHAnsi"/>
          <w:i/>
          <w:iCs/>
        </w:rPr>
        <w:t>basic transaction accounts</w:t>
      </w:r>
      <w:r w:rsidRPr="006C37A9">
        <w:rPr>
          <w:rFonts w:cstheme="minorHAnsi"/>
        </w:rPr>
        <w:t>? </w:t>
      </w:r>
    </w:p>
    <w:p w14:paraId="0A76CF2C" w14:textId="77777777" w:rsidR="0032134C" w:rsidRDefault="0032134C" w:rsidP="0032134C">
      <w:pPr>
        <w:pStyle w:val="ListNumber"/>
      </w:pPr>
      <w:r w:rsidRPr="0DC4A1DB">
        <w:t xml:space="preserve">Do you agree that all New Zealanders should have the right to access a basic transaction account? </w:t>
      </w:r>
    </w:p>
    <w:p w14:paraId="0AF68FB2" w14:textId="049F5C31" w:rsidR="0032134C" w:rsidRDefault="0032134C" w:rsidP="0032134C">
      <w:pPr>
        <w:pStyle w:val="ListNumber"/>
      </w:pPr>
      <w:r w:rsidRPr="00C50CA2">
        <w:t>What features do you think a basic transaction account should have?</w:t>
      </w:r>
      <w:r>
        <w:t xml:space="preserve"> </w:t>
      </w:r>
      <w:r w:rsidR="001F301A" w:rsidRPr="00C50CA2">
        <w:t>(see page 30 of the Issues Paper for more information)</w:t>
      </w:r>
    </w:p>
    <w:p w14:paraId="2FF368CC" w14:textId="77777777" w:rsidR="0032134C" w:rsidRDefault="0032134C" w:rsidP="0032134C">
      <w:pPr>
        <w:pStyle w:val="ListNumber"/>
        <w:numPr>
          <w:ilvl w:val="0"/>
          <w:numId w:val="31"/>
        </w:numPr>
        <w:spacing w:after="120"/>
        <w:ind w:left="714" w:hanging="357"/>
      </w:pPr>
      <w:r>
        <w:t xml:space="preserve">Simplified onboarding  </w:t>
      </w:r>
    </w:p>
    <w:p w14:paraId="28081860" w14:textId="77777777" w:rsidR="0032134C" w:rsidRDefault="0032134C" w:rsidP="0032134C">
      <w:pPr>
        <w:pStyle w:val="ListParagraph"/>
        <w:numPr>
          <w:ilvl w:val="0"/>
          <w:numId w:val="29"/>
        </w:numPr>
        <w:spacing w:after="120"/>
        <w:ind w:left="714" w:hanging="357"/>
        <w:contextualSpacing w:val="0"/>
      </w:pPr>
      <w:r>
        <w:t xml:space="preserve">Transaction limits  </w:t>
      </w:r>
    </w:p>
    <w:p w14:paraId="599BF28A" w14:textId="77777777" w:rsidR="0032134C" w:rsidRDefault="0032134C" w:rsidP="0032134C">
      <w:pPr>
        <w:pStyle w:val="ListParagraph"/>
        <w:numPr>
          <w:ilvl w:val="0"/>
          <w:numId w:val="29"/>
        </w:numPr>
        <w:spacing w:after="120"/>
        <w:ind w:left="714" w:hanging="357"/>
        <w:contextualSpacing w:val="0"/>
      </w:pPr>
      <w:r>
        <w:t xml:space="preserve">Balance caps </w:t>
      </w:r>
    </w:p>
    <w:p w14:paraId="4EB485E7" w14:textId="77777777" w:rsidR="0032134C" w:rsidRDefault="0032134C" w:rsidP="0032134C">
      <w:pPr>
        <w:pStyle w:val="ListParagraph"/>
        <w:numPr>
          <w:ilvl w:val="0"/>
          <w:numId w:val="29"/>
        </w:numPr>
        <w:spacing w:after="120"/>
        <w:ind w:left="714" w:hanging="357"/>
        <w:contextualSpacing w:val="0"/>
      </w:pPr>
      <w:r>
        <w:t xml:space="preserve">No cost accounts and no minimum balance requirement  </w:t>
      </w:r>
    </w:p>
    <w:p w14:paraId="7E81CCBA" w14:textId="77777777" w:rsidR="0032134C" w:rsidRDefault="0032134C" w:rsidP="0032134C">
      <w:pPr>
        <w:pStyle w:val="ListParagraph"/>
        <w:numPr>
          <w:ilvl w:val="0"/>
          <w:numId w:val="29"/>
        </w:numPr>
        <w:spacing w:after="120"/>
        <w:ind w:left="714" w:hanging="357"/>
        <w:contextualSpacing w:val="0"/>
      </w:pPr>
      <w:r>
        <w:t xml:space="preserve">No debt or overdraft  </w:t>
      </w:r>
    </w:p>
    <w:p w14:paraId="5497E54B" w14:textId="77777777" w:rsidR="0032134C" w:rsidRDefault="0032134C" w:rsidP="0032134C">
      <w:pPr>
        <w:pStyle w:val="ListParagraph"/>
        <w:numPr>
          <w:ilvl w:val="0"/>
          <w:numId w:val="29"/>
        </w:numPr>
        <w:spacing w:after="120"/>
        <w:ind w:left="714" w:hanging="357"/>
        <w:contextualSpacing w:val="0"/>
      </w:pPr>
      <w:r>
        <w:t xml:space="preserve">Online payments  </w:t>
      </w:r>
    </w:p>
    <w:p w14:paraId="62445379" w14:textId="77777777" w:rsidR="0032134C" w:rsidRDefault="0032134C" w:rsidP="0032134C">
      <w:pPr>
        <w:pStyle w:val="ListParagraph"/>
        <w:numPr>
          <w:ilvl w:val="0"/>
          <w:numId w:val="29"/>
        </w:numPr>
        <w:spacing w:after="120"/>
        <w:ind w:left="714" w:hanging="357"/>
        <w:contextualSpacing w:val="0"/>
      </w:pPr>
      <w:r>
        <w:t xml:space="preserve">Direct debit and automatic payment functionality  </w:t>
      </w:r>
    </w:p>
    <w:p w14:paraId="72433201" w14:textId="77777777" w:rsidR="0032134C" w:rsidRDefault="0032134C" w:rsidP="0032134C">
      <w:pPr>
        <w:pStyle w:val="ListParagraph"/>
        <w:numPr>
          <w:ilvl w:val="0"/>
          <w:numId w:val="29"/>
        </w:numPr>
        <w:spacing w:after="120"/>
        <w:ind w:left="714" w:hanging="357"/>
        <w:contextualSpacing w:val="0"/>
      </w:pPr>
      <w:r>
        <w:t xml:space="preserve">No time limit or forced migrations to traditional bank accounts </w:t>
      </w:r>
    </w:p>
    <w:p w14:paraId="16E24388" w14:textId="77777777" w:rsidR="0032134C" w:rsidRDefault="0032134C" w:rsidP="0032134C">
      <w:pPr>
        <w:pStyle w:val="ListParagraph"/>
        <w:numPr>
          <w:ilvl w:val="0"/>
          <w:numId w:val="29"/>
        </w:numPr>
        <w:spacing w:after="120"/>
        <w:ind w:left="714" w:hanging="357"/>
        <w:contextualSpacing w:val="0"/>
      </w:pPr>
      <w:r>
        <w:t xml:space="preserve">A formal refusal process for customers declined a basic transaction account </w:t>
      </w:r>
    </w:p>
    <w:p w14:paraId="014572EE" w14:textId="77777777" w:rsidR="0032134C" w:rsidRDefault="0032134C" w:rsidP="0032134C">
      <w:pPr>
        <w:pStyle w:val="ListParagraph"/>
        <w:numPr>
          <w:ilvl w:val="0"/>
          <w:numId w:val="29"/>
        </w:numPr>
        <w:spacing w:after="120"/>
        <w:ind w:left="714" w:hanging="357"/>
        <w:contextualSpacing w:val="0"/>
      </w:pPr>
      <w:r>
        <w:t xml:space="preserve">Available via multiple access points (online vs in person) </w:t>
      </w:r>
    </w:p>
    <w:p w14:paraId="6056C29D" w14:textId="77777777" w:rsidR="0032134C" w:rsidRDefault="0032134C" w:rsidP="0032134C">
      <w:pPr>
        <w:pStyle w:val="ListParagraph"/>
        <w:numPr>
          <w:ilvl w:val="0"/>
          <w:numId w:val="29"/>
        </w:numPr>
        <w:spacing w:after="120"/>
        <w:ind w:left="714" w:hanging="357"/>
        <w:contextualSpacing w:val="0"/>
      </w:pPr>
      <w:r>
        <w:t>Other</w:t>
      </w:r>
    </w:p>
    <w:p w14:paraId="7B74FD0A" w14:textId="77777777" w:rsidR="0032134C" w:rsidRDefault="0032134C" w:rsidP="0032134C">
      <w:pPr>
        <w:pStyle w:val="ListNumber"/>
      </w:pPr>
      <w:r>
        <w:t xml:space="preserve">Which of the following approaches do you think would be most effective in Aotearoa New Zealand to make basic transaction accounts widely available? </w:t>
      </w:r>
    </w:p>
    <w:p w14:paraId="521C658A" w14:textId="77777777" w:rsidR="0032134C" w:rsidRDefault="0032134C" w:rsidP="0032134C">
      <w:pPr>
        <w:pStyle w:val="ListNumber"/>
        <w:numPr>
          <w:ilvl w:val="0"/>
          <w:numId w:val="28"/>
        </w:numPr>
      </w:pPr>
      <w:r>
        <w:t>Regulatory requirements</w:t>
      </w:r>
    </w:p>
    <w:p w14:paraId="2670312E" w14:textId="77777777" w:rsidR="0032134C" w:rsidRDefault="0032134C" w:rsidP="0032134C">
      <w:pPr>
        <w:pStyle w:val="ListNumber"/>
        <w:numPr>
          <w:ilvl w:val="0"/>
          <w:numId w:val="28"/>
        </w:numPr>
      </w:pPr>
      <w:r>
        <w:t>Industry-led</w:t>
      </w:r>
    </w:p>
    <w:p w14:paraId="391B8794" w14:textId="77777777" w:rsidR="0032134C" w:rsidRDefault="0032134C" w:rsidP="0032134C">
      <w:pPr>
        <w:pStyle w:val="ListNumber"/>
        <w:numPr>
          <w:ilvl w:val="0"/>
          <w:numId w:val="28"/>
        </w:numPr>
      </w:pPr>
      <w:r>
        <w:t>Hybrid approach</w:t>
      </w:r>
    </w:p>
    <w:p w14:paraId="702D18BF" w14:textId="15C849AB" w:rsidR="0032134C" w:rsidRDefault="001F301A" w:rsidP="001F301A">
      <w:pPr>
        <w:pStyle w:val="ListNumber"/>
      </w:pPr>
      <w:r>
        <w:t xml:space="preserve">Do you have any suggestions on how to improve access to </w:t>
      </w:r>
      <w:r w:rsidRPr="0DC4A1DB">
        <w:rPr>
          <w:i/>
          <w:iCs/>
        </w:rPr>
        <w:t>basic transaction accounts</w:t>
      </w:r>
      <w:r>
        <w:rPr>
          <w:i/>
          <w:iCs/>
        </w:rPr>
        <w:t xml:space="preserve"> </w:t>
      </w:r>
      <w:r>
        <w:t xml:space="preserve">that are not outlined in the Issues Paper? </w:t>
      </w:r>
    </w:p>
    <w:p w14:paraId="0D1B4B61" w14:textId="77777777" w:rsidR="0032134C" w:rsidRPr="00616618" w:rsidRDefault="0032134C" w:rsidP="0032134C">
      <w:pPr>
        <w:pStyle w:val="ListNumber"/>
        <w:numPr>
          <w:ilvl w:val="0"/>
          <w:numId w:val="0"/>
        </w:numPr>
        <w:rPr>
          <w:b/>
          <w:bCs/>
        </w:rPr>
      </w:pPr>
      <w:r w:rsidRPr="00616618">
        <w:rPr>
          <w:b/>
          <w:bCs/>
        </w:rPr>
        <w:lastRenderedPageBreak/>
        <w:t xml:space="preserve">Questions for deposit takers: </w:t>
      </w:r>
    </w:p>
    <w:p w14:paraId="7D5D4CAB" w14:textId="77777777" w:rsidR="001F301A" w:rsidRPr="00517456" w:rsidRDefault="001F301A" w:rsidP="001F301A">
      <w:pPr>
        <w:pStyle w:val="ListNumber"/>
      </w:pPr>
      <w:r>
        <w:t>Could your entity</w:t>
      </w:r>
      <w:r w:rsidRPr="00517456">
        <w:t xml:space="preserve"> deploy the controls and design features to have a ‘ring fenced’ basic transaction account, for example, un-bundling transaction services from overdraft products, and limits on the amount of money coming in and out of accounts?</w:t>
      </w:r>
      <w:r>
        <w:t xml:space="preserve"> </w:t>
      </w:r>
    </w:p>
    <w:p w14:paraId="6B27829B" w14:textId="77777777" w:rsidR="0032134C" w:rsidRPr="00517456" w:rsidRDefault="0032134C" w:rsidP="0032134C">
      <w:pPr>
        <w:pStyle w:val="ListNumber"/>
      </w:pPr>
      <w:r>
        <w:t xml:space="preserve">Could your entity measure and report on access to transaction accounts, including the number of applications for a transaction account that are declined and the reason(s) for the decline on an annual basis? </w:t>
      </w:r>
    </w:p>
    <w:p w14:paraId="65CA6141" w14:textId="77777777" w:rsidR="0032134C" w:rsidRDefault="0032134C" w:rsidP="0032134C">
      <w:pPr>
        <w:pStyle w:val="ListNumber"/>
      </w:pPr>
      <w:r>
        <w:t xml:space="preserve">What are the most significant costs that your entity could expect in order to provide customers with basic transaction accounts? </w:t>
      </w:r>
    </w:p>
    <w:p w14:paraId="2001D8A7" w14:textId="77777777" w:rsidR="0032134C" w:rsidRDefault="0032134C" w:rsidP="0032134C">
      <w:pPr>
        <w:pStyle w:val="ListNumber"/>
        <w:numPr>
          <w:ilvl w:val="0"/>
          <w:numId w:val="32"/>
        </w:numPr>
      </w:pPr>
      <w:r>
        <w:t>Technology upgrades</w:t>
      </w:r>
    </w:p>
    <w:p w14:paraId="01E13093" w14:textId="77777777" w:rsidR="0032134C" w:rsidRDefault="0032134C" w:rsidP="0032134C">
      <w:pPr>
        <w:pStyle w:val="ListNumber"/>
        <w:numPr>
          <w:ilvl w:val="0"/>
          <w:numId w:val="32"/>
        </w:numPr>
      </w:pPr>
      <w:r>
        <w:t>Staff training</w:t>
      </w:r>
    </w:p>
    <w:p w14:paraId="371129D4" w14:textId="77777777" w:rsidR="0032134C" w:rsidRDefault="0032134C" w:rsidP="0032134C">
      <w:pPr>
        <w:pStyle w:val="ListNumber"/>
        <w:numPr>
          <w:ilvl w:val="0"/>
          <w:numId w:val="32"/>
        </w:numPr>
      </w:pPr>
      <w:r>
        <w:t>Data and reporting</w:t>
      </w:r>
    </w:p>
    <w:p w14:paraId="287E8D3A" w14:textId="77777777" w:rsidR="0032134C" w:rsidRDefault="0032134C" w:rsidP="0032134C">
      <w:pPr>
        <w:pStyle w:val="ListNumber"/>
        <w:numPr>
          <w:ilvl w:val="0"/>
          <w:numId w:val="32"/>
        </w:numPr>
      </w:pPr>
      <w:r>
        <w:t>Product design</w:t>
      </w:r>
    </w:p>
    <w:p w14:paraId="19FCA112" w14:textId="77777777" w:rsidR="0032134C" w:rsidRDefault="0032134C" w:rsidP="0032134C">
      <w:pPr>
        <w:pStyle w:val="ListNumber"/>
        <w:numPr>
          <w:ilvl w:val="0"/>
          <w:numId w:val="32"/>
        </w:numPr>
      </w:pPr>
      <w:r>
        <w:t>Marketing and awareness</w:t>
      </w:r>
    </w:p>
    <w:p w14:paraId="0BBBEF75" w14:textId="77777777" w:rsidR="0032134C" w:rsidRDefault="0032134C" w:rsidP="0032134C">
      <w:pPr>
        <w:pStyle w:val="ListNumber"/>
        <w:numPr>
          <w:ilvl w:val="0"/>
          <w:numId w:val="32"/>
        </w:numPr>
      </w:pPr>
      <w:r>
        <w:t>Internal policy changes</w:t>
      </w:r>
    </w:p>
    <w:p w14:paraId="43DE0CA8" w14:textId="77777777" w:rsidR="0032134C" w:rsidRDefault="0032134C" w:rsidP="0032134C">
      <w:pPr>
        <w:pStyle w:val="ListNumber"/>
        <w:numPr>
          <w:ilvl w:val="0"/>
          <w:numId w:val="32"/>
        </w:numPr>
      </w:pPr>
      <w:r>
        <w:t>Other</w:t>
      </w:r>
    </w:p>
    <w:p w14:paraId="389868DE" w14:textId="77777777" w:rsidR="0032134C" w:rsidRDefault="0032134C" w:rsidP="0032134C">
      <w:pPr>
        <w:pStyle w:val="ListNumber"/>
      </w:pPr>
      <w:r>
        <w:t xml:space="preserve">What are the most significant benefits that your entity could expect in providing customers with basic transaction accounts? </w:t>
      </w:r>
    </w:p>
    <w:p w14:paraId="49FBCC56" w14:textId="77777777" w:rsidR="0032134C" w:rsidRDefault="0032134C" w:rsidP="0032134C">
      <w:pPr>
        <w:pStyle w:val="ListNumber"/>
        <w:numPr>
          <w:ilvl w:val="0"/>
          <w:numId w:val="33"/>
        </w:numPr>
      </w:pPr>
      <w:r>
        <w:t>Broadened deposit base</w:t>
      </w:r>
    </w:p>
    <w:p w14:paraId="5BDAE837" w14:textId="77777777" w:rsidR="0032134C" w:rsidRDefault="0032134C" w:rsidP="0032134C">
      <w:pPr>
        <w:pStyle w:val="ListNumber"/>
        <w:numPr>
          <w:ilvl w:val="0"/>
          <w:numId w:val="33"/>
        </w:numPr>
      </w:pPr>
      <w:r>
        <w:t>Supports organisational strategy</w:t>
      </w:r>
    </w:p>
    <w:p w14:paraId="780B722C" w14:textId="77777777" w:rsidR="0032134C" w:rsidRDefault="0032134C" w:rsidP="0032134C">
      <w:pPr>
        <w:pStyle w:val="ListNumber"/>
        <w:numPr>
          <w:ilvl w:val="0"/>
          <w:numId w:val="33"/>
        </w:numPr>
      </w:pPr>
      <w:r>
        <w:t>Improved stakeholder relations and reputation</w:t>
      </w:r>
    </w:p>
    <w:p w14:paraId="6A280D46" w14:textId="77777777" w:rsidR="0032134C" w:rsidRDefault="0032134C" w:rsidP="0032134C">
      <w:pPr>
        <w:pStyle w:val="ListNumber"/>
        <w:numPr>
          <w:ilvl w:val="0"/>
          <w:numId w:val="33"/>
        </w:numPr>
      </w:pPr>
      <w:r>
        <w:t>Reduced costs of onboarding vulnerable customers</w:t>
      </w:r>
    </w:p>
    <w:p w14:paraId="1D922A0C" w14:textId="77777777" w:rsidR="0032134C" w:rsidRDefault="0032134C" w:rsidP="0032134C">
      <w:pPr>
        <w:pStyle w:val="ListNumber"/>
        <w:numPr>
          <w:ilvl w:val="0"/>
          <w:numId w:val="33"/>
        </w:numPr>
      </w:pPr>
      <w:r>
        <w:t>Other</w:t>
      </w:r>
    </w:p>
    <w:p w14:paraId="0B63CC41" w14:textId="77777777" w:rsidR="0032134C" w:rsidRDefault="0032134C" w:rsidP="0032134C">
      <w:pPr>
        <w:pStyle w:val="ListNumber"/>
      </w:pPr>
      <w:r>
        <w:t>Does your entity intend</w:t>
      </w:r>
      <w:r w:rsidRPr="00326284">
        <w:t xml:space="preserve"> to pilot </w:t>
      </w:r>
      <w:r>
        <w:t>and/or implement</w:t>
      </w:r>
      <w:r w:rsidRPr="00326284">
        <w:t xml:space="preserve"> a basic transaction account? </w:t>
      </w:r>
    </w:p>
    <w:p w14:paraId="0E9F8E71" w14:textId="77777777" w:rsidR="0032134C" w:rsidRDefault="0032134C" w:rsidP="0032134C">
      <w:pPr>
        <w:pStyle w:val="ListNumber2"/>
      </w:pPr>
      <w:r w:rsidRPr="006C37A9">
        <w:t>If yes, please briefly explain the approach you intend to take to pilot and/or implement a basic transaction account.</w:t>
      </w:r>
    </w:p>
    <w:p w14:paraId="1A283AB4" w14:textId="77777777" w:rsidR="0032134C" w:rsidRDefault="0032134C" w:rsidP="0032134C">
      <w:pPr>
        <w:pStyle w:val="ListNumber2"/>
      </w:pPr>
      <w:r w:rsidRPr="006C37A9">
        <w:t>If no, please briefly explain why you do not intend to pilot and/or implement a basic transaction account?</w:t>
      </w:r>
    </w:p>
    <w:p w14:paraId="1460C0F8" w14:textId="77777777" w:rsidR="0032134C" w:rsidRDefault="0032134C" w:rsidP="0032134C">
      <w:pPr>
        <w:pStyle w:val="ListNumber"/>
      </w:pPr>
      <w:r w:rsidRPr="00E471CE">
        <w:t>Do you think</w:t>
      </w:r>
      <w:r>
        <w:t xml:space="preserve"> that</w:t>
      </w:r>
      <w:r w:rsidRPr="00E471CE">
        <w:t xml:space="preserve"> the deposit-taking sector is well positioned to design and implement basic transaction accounts through an industry</w:t>
      </w:r>
      <w:r>
        <w:t>-</w:t>
      </w:r>
      <w:r w:rsidRPr="00E471CE">
        <w:t xml:space="preserve">led approach? </w:t>
      </w:r>
    </w:p>
    <w:p w14:paraId="028B7DB0" w14:textId="1F0CC1D2" w:rsidR="00FD6C2E" w:rsidRPr="001E390C" w:rsidRDefault="0032134C" w:rsidP="001F301A">
      <w:pPr>
        <w:pStyle w:val="ListNumber"/>
      </w:pPr>
      <w:r>
        <w:t xml:space="preserve">Do you foresee any </w:t>
      </w:r>
      <w:r w:rsidRPr="00E471CE">
        <w:t xml:space="preserve">regulatory support </w:t>
      </w:r>
      <w:r>
        <w:t>that may</w:t>
      </w:r>
      <w:r w:rsidRPr="00E471CE">
        <w:t xml:space="preserve"> be required</w:t>
      </w:r>
      <w:r>
        <w:t xml:space="preserve"> for you to design and implement a basic transaction account</w:t>
      </w:r>
      <w:r w:rsidRPr="00E471CE">
        <w:t xml:space="preserve">? </w:t>
      </w:r>
      <w:r>
        <w:t xml:space="preserve"> </w:t>
      </w:r>
      <w:bookmarkEnd w:id="77"/>
      <w:bookmarkEnd w:id="78"/>
    </w:p>
    <w:sectPr w:rsidR="00FD6C2E" w:rsidRPr="001E390C" w:rsidSect="00A50C2C">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567" w:footer="624"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48A46" w14:textId="77777777" w:rsidR="0007029A" w:rsidRDefault="0007029A" w:rsidP="00446A38">
      <w:r>
        <w:separator/>
      </w:r>
    </w:p>
  </w:endnote>
  <w:endnote w:type="continuationSeparator" w:id="0">
    <w:p w14:paraId="7D9B399D" w14:textId="77777777" w:rsidR="0007029A" w:rsidRDefault="0007029A" w:rsidP="00446A38">
      <w:r>
        <w:continuationSeparator/>
      </w:r>
    </w:p>
  </w:endnote>
  <w:endnote w:type="continuationNotice" w:id="1">
    <w:p w14:paraId="20C47438" w14:textId="77777777" w:rsidR="0007029A" w:rsidRDefault="000702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charset w:val="00"/>
    <w:family w:val="auto"/>
    <w:pitch w:val="variable"/>
    <w:sig w:usb0="2000020F" w:usb1="00000003" w:usb2="00000000" w:usb3="00000000" w:csb0="00000197" w:csb1="00000000"/>
  </w:font>
  <w:font w:name="Kristen ITC">
    <w:panose1 w:val="03050502040202030202"/>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SimSun">
    <w:charset w:val="86"/>
    <w:family w:val="modern"/>
    <w:pitch w:val="fixed"/>
    <w:sig w:usb0="00000203" w:usb1="288F0000" w:usb2="00000016" w:usb3="00000000" w:csb0="00040001" w:csb1="00000000"/>
  </w:font>
  <w:font w:name="Segoe UI Black">
    <w:panose1 w:val="020B0A02040204020203"/>
    <w:charset w:val="00"/>
    <w:family w:val="swiss"/>
    <w:pitch w:val="variable"/>
    <w:sig w:usb0="E00002FF" w:usb1="4000E47F" w:usb2="00000021" w:usb3="00000000" w:csb0="0000019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45E7" w14:textId="498555F8" w:rsidR="00B73728" w:rsidRDefault="000D3783">
    <w:pPr>
      <w:pStyle w:val="Footer"/>
    </w:pPr>
    <w:r>
      <w:rPr>
        <w:noProof/>
        <w14:ligatures w14:val="standardContextual"/>
      </w:rPr>
      <mc:AlternateContent>
        <mc:Choice Requires="wps">
          <w:drawing>
            <wp:anchor distT="0" distB="0" distL="0" distR="0" simplePos="0" relativeHeight="251670016" behindDoc="0" locked="0" layoutInCell="1" allowOverlap="1" wp14:anchorId="1B3FF485" wp14:editId="12D52B53">
              <wp:simplePos x="635" y="635"/>
              <wp:positionH relativeFrom="page">
                <wp:align>center</wp:align>
              </wp:positionH>
              <wp:positionV relativeFrom="page">
                <wp:align>bottom</wp:align>
              </wp:positionV>
              <wp:extent cx="737870" cy="345440"/>
              <wp:effectExtent l="0" t="0" r="5080" b="0"/>
              <wp:wrapNone/>
              <wp:docPr id="1534923889" name="Text Box 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798AC8C8" w14:textId="5C459684"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FF485" id="_x0000_t202" coordsize="21600,21600" o:spt="202" path="m,l,21600r21600,l21600,xe">
              <v:stroke joinstyle="miter"/>
              <v:path gradientshapeok="t" o:connecttype="rect"/>
            </v:shapetype>
            <v:shape id="Text Box 8" o:spid="_x0000_s1030" type="#_x0000_t202" alt="UNCLASSIFIED" style="position:absolute;margin-left:0;margin-top:0;width:58.1pt;height:27.2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" filled="f" stroked="f">
              <v:textbox style="mso-fit-shape-to-text:t" inset="0,0,0,15pt">
                <w:txbxContent>
                  <w:p w14:paraId="798AC8C8" w14:textId="5C459684"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4DBDC" w14:textId="200AA73F" w:rsidR="00746B3D" w:rsidRDefault="00746B3D" w:rsidP="00746B3D">
    <w:pPr>
      <w:pStyle w:val="Footer"/>
      <w:spacing w:after="60"/>
      <w:rPr>
        <w:rStyle w:val="PageNumering"/>
      </w:rPr>
    </w:pPr>
    <w:r>
      <w:rPr>
        <w:rFonts w:asciiTheme="minorHAnsi" w:hAnsiTheme="minorHAnsi"/>
        <w:b/>
        <w:bCs/>
        <w:noProof/>
        <w:szCs w:val="14"/>
      </w:rPr>
      <w:drawing>
        <wp:inline distT="0" distB="0" distL="0" distR="0" wp14:anchorId="45A99FDA" wp14:editId="53BEDB93">
          <wp:extent cx="5759450" cy="135255"/>
          <wp:effectExtent l="0" t="0" r="0" b="0"/>
          <wp:docPr id="16966513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1260" name="Picture 1911491260"/>
                  <pic:cNvPicPr/>
                </pic:nvPicPr>
                <pic:blipFill>
                  <a:blip r:embed="rId1">
                    <a:extLst>
                      <a:ext uri="{28A0092B-C50C-407E-A947-70E740481C1C}">
                        <a14:useLocalDpi xmlns:a14="http://schemas.microsoft.com/office/drawing/2010/main" val="0"/>
                      </a:ext>
                    </a:extLst>
                  </a:blip>
                  <a:stretch>
                    <a:fillRect/>
                  </a:stretch>
                </pic:blipFill>
                <pic:spPr>
                  <a:xfrm>
                    <a:off x="0" y="0"/>
                    <a:ext cx="5759450" cy="135255"/>
                  </a:xfrm>
                  <a:prstGeom prst="rect">
                    <a:avLst/>
                  </a:prstGeom>
                </pic:spPr>
              </pic:pic>
            </a:graphicData>
          </a:graphic>
        </wp:inline>
      </w:drawing>
    </w:r>
  </w:p>
  <w:p w14:paraId="48DCB005" w14:textId="667D9F3D" w:rsidR="00ED33E6" w:rsidRPr="00746B3D" w:rsidRDefault="00746B3D" w:rsidP="00746B3D">
    <w:pPr>
      <w:pStyle w:val="Footer"/>
      <w:tabs>
        <w:tab w:val="left" w:pos="0"/>
      </w:tabs>
      <w:ind w:left="-283"/>
    </w:pPr>
    <w:r>
      <w:rPr>
        <w:rStyle w:val="PageNumering"/>
      </w:rPr>
      <w:fldChar w:fldCharType="begin"/>
    </w:r>
    <w:r>
      <w:rPr>
        <w:rStyle w:val="PageNumering"/>
      </w:rPr>
      <w:instrText xml:space="preserve"> PAGE   \* MERGEFORMAT </w:instrText>
    </w:r>
    <w:r>
      <w:rPr>
        <w:rStyle w:val="PageNumering"/>
      </w:rPr>
      <w:fldChar w:fldCharType="separate"/>
    </w:r>
    <w:r>
      <w:rPr>
        <w:rStyle w:val="PageNumering"/>
      </w:rPr>
      <w:t>4</w:t>
    </w:r>
    <w:r>
      <w:rPr>
        <w:rStyle w:val="PageNumering"/>
      </w:rPr>
      <w:fldChar w:fldCharType="end"/>
    </w:r>
    <w:r>
      <w:rPr>
        <w:rStyle w:val="PageNumering"/>
      </w:rPr>
      <w:t xml:space="preserve"> </w:t>
    </w:r>
    <w:r>
      <w:rPr>
        <w:rStyle w:val="PageNumering"/>
      </w:rPr>
      <w:tab/>
    </w:r>
    <w:r w:rsidR="00517456" w:rsidRPr="00517456">
      <w:t>Issues Paper: Access to Basic Transaction Accounts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3509" w14:textId="2A4E7C7E" w:rsidR="001A669C" w:rsidRDefault="001A669C" w:rsidP="001A669C">
    <w:pPr>
      <w:pStyle w:val="Footer"/>
      <w:spacing w:after="60"/>
      <w:rPr>
        <w:rStyle w:val="PageNumering"/>
      </w:rPr>
    </w:pPr>
  </w:p>
  <w:p w14:paraId="64A2EACF" w14:textId="77777777" w:rsidR="000343F1" w:rsidRDefault="000343F1" w:rsidP="00A50C2C">
    <w:pPr>
      <w:pStyle w:val="Footer"/>
      <w:tabs>
        <w:tab w:val="left" w:pos="0"/>
      </w:tabs>
      <w:ind w:left="-283"/>
      <w:rPr>
        <w:rFonts w:asciiTheme="minorHAnsi" w:hAnsiTheme="minorHAnsi"/>
        <w:b/>
        <w:bCs/>
        <w:noProof/>
        <w:szCs w:val="14"/>
      </w:rPr>
    </w:pPr>
  </w:p>
  <w:p w14:paraId="0FEC0E01" w14:textId="27566BBE" w:rsidR="000343F1" w:rsidRDefault="000343F1" w:rsidP="000343F1">
    <w:pPr>
      <w:pStyle w:val="Footer"/>
      <w:spacing w:after="60"/>
      <w:rPr>
        <w:rStyle w:val="PageNumering"/>
      </w:rPr>
    </w:pPr>
    <w:r>
      <w:rPr>
        <w:rFonts w:asciiTheme="minorHAnsi" w:hAnsiTheme="minorHAnsi"/>
        <w:b/>
        <w:bCs/>
        <w:noProof/>
        <w:szCs w:val="14"/>
      </w:rPr>
      <w:drawing>
        <wp:inline distT="0" distB="0" distL="0" distR="0" wp14:anchorId="3970317D" wp14:editId="20275D9B">
          <wp:extent cx="8848725" cy="131445"/>
          <wp:effectExtent l="0" t="0" r="9525" b="1905"/>
          <wp:docPr id="1103155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1260" name="Picture 1911491260"/>
                  <pic:cNvPicPr/>
                </pic:nvPicPr>
                <pic:blipFill rotWithShape="1">
                  <a:blip r:embed="rId1">
                    <a:extLst>
                      <a:ext uri="{28A0092B-C50C-407E-A947-70E740481C1C}">
                        <a14:useLocalDpi xmlns:a14="http://schemas.microsoft.com/office/drawing/2010/main" val="0"/>
                      </a:ext>
                    </a:extLst>
                  </a:blip>
                  <a:srcRect t="36698"/>
                  <a:stretch/>
                </pic:blipFill>
                <pic:spPr bwMode="auto">
                  <a:xfrm>
                    <a:off x="0" y="0"/>
                    <a:ext cx="8848725" cy="131445"/>
                  </a:xfrm>
                  <a:prstGeom prst="rect">
                    <a:avLst/>
                  </a:prstGeom>
                  <a:ln>
                    <a:noFill/>
                  </a:ln>
                  <a:extLst>
                    <a:ext uri="{53640926-AAD7-44D8-BBD7-CCE9431645EC}">
                      <a14:shadowObscured xmlns:a14="http://schemas.microsoft.com/office/drawing/2010/main"/>
                    </a:ext>
                  </a:extLst>
                </pic:spPr>
              </pic:pic>
            </a:graphicData>
          </a:graphic>
        </wp:inline>
      </w:drawing>
    </w:r>
  </w:p>
  <w:p w14:paraId="6DE1F588" w14:textId="77777777" w:rsidR="000343F1" w:rsidRPr="00746B3D" w:rsidRDefault="000343F1" w:rsidP="000343F1">
    <w:pPr>
      <w:pStyle w:val="Footer"/>
      <w:tabs>
        <w:tab w:val="left" w:pos="0"/>
      </w:tabs>
      <w:ind w:left="-283"/>
    </w:pPr>
    <w:r>
      <w:rPr>
        <w:rStyle w:val="PageNumering"/>
      </w:rPr>
      <w:fldChar w:fldCharType="begin"/>
    </w:r>
    <w:r>
      <w:rPr>
        <w:rStyle w:val="PageNumering"/>
      </w:rPr>
      <w:instrText xml:space="preserve"> PAGE   \* MERGEFORMAT </w:instrText>
    </w:r>
    <w:r>
      <w:rPr>
        <w:rStyle w:val="PageNumering"/>
      </w:rPr>
      <w:fldChar w:fldCharType="separate"/>
    </w:r>
    <w:r>
      <w:rPr>
        <w:rStyle w:val="PageNumering"/>
      </w:rPr>
      <w:t>18</w:t>
    </w:r>
    <w:r>
      <w:rPr>
        <w:rStyle w:val="PageNumering"/>
      </w:rPr>
      <w:fldChar w:fldCharType="end"/>
    </w:r>
    <w:r>
      <w:rPr>
        <w:rStyle w:val="PageNumering"/>
      </w:rPr>
      <w:t xml:space="preserve"> </w:t>
    </w:r>
    <w:r>
      <w:rPr>
        <w:rStyle w:val="PageNumering"/>
      </w:rPr>
      <w:tab/>
    </w:r>
    <w:r w:rsidRPr="00517456">
      <w:t>Issues Paper: Access to Basic Transaction Accounts</w:t>
    </w:r>
  </w:p>
  <w:p w14:paraId="123E3533" w14:textId="6CE41103" w:rsidR="00ED33E6" w:rsidRDefault="00ED33E6" w:rsidP="00A50C2C">
    <w:pPr>
      <w:pStyle w:val="Footer"/>
      <w:tabs>
        <w:tab w:val="left" w:pos="0"/>
      </w:tabs>
      <w:ind w:left="-28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FCFD" w14:textId="1FD656C6" w:rsidR="000D3783" w:rsidRDefault="000D3783">
    <w:pPr>
      <w:pStyle w:val="Footer"/>
    </w:pPr>
    <w:r>
      <w:rPr>
        <w:noProof/>
        <w14:ligatures w14:val="standardContextual"/>
      </w:rPr>
      <mc:AlternateContent>
        <mc:Choice Requires="wps">
          <w:drawing>
            <wp:anchor distT="0" distB="0" distL="0" distR="0" simplePos="0" relativeHeight="251673088" behindDoc="0" locked="0" layoutInCell="1" allowOverlap="1" wp14:anchorId="7CCBAFAF" wp14:editId="40162E4E">
              <wp:simplePos x="635" y="635"/>
              <wp:positionH relativeFrom="page">
                <wp:align>center</wp:align>
              </wp:positionH>
              <wp:positionV relativeFrom="page">
                <wp:align>bottom</wp:align>
              </wp:positionV>
              <wp:extent cx="737870" cy="345440"/>
              <wp:effectExtent l="0" t="0" r="5080" b="0"/>
              <wp:wrapNone/>
              <wp:docPr id="340739654"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389DD901" w14:textId="1A9ABFDA"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BAFAF" id="_x0000_t202" coordsize="21600,21600" o:spt="202" path="m,l,21600r21600,l21600,xe">
              <v:stroke joinstyle="miter"/>
              <v:path gradientshapeok="t" o:connecttype="rect"/>
            </v:shapetype>
            <v:shape id="Text Box 11" o:spid="_x0000_s1032" type="#_x0000_t202" alt="UNCLASSIFIED" style="position:absolute;margin-left:0;margin-top:0;width:58.1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" filled="f" stroked="f">
              <v:textbox style="mso-fit-shape-to-text:t" inset="0,0,0,15pt">
                <w:txbxContent>
                  <w:p w14:paraId="389DD901" w14:textId="1A9ABFDA"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573E" w14:textId="741EE74E" w:rsidR="000343F1" w:rsidRPr="00746B3D" w:rsidRDefault="000343F1" w:rsidP="000343F1">
    <w:pPr>
      <w:pStyle w:val="Footer"/>
      <w:tabs>
        <w:tab w:val="left" w:pos="0"/>
      </w:tabs>
      <w:ind w:left="-283"/>
    </w:pPr>
    <w:r>
      <w:rPr>
        <w:rFonts w:asciiTheme="minorHAnsi" w:hAnsiTheme="minorHAnsi"/>
        <w:b/>
        <w:bCs/>
        <w:noProof/>
        <w:szCs w:val="14"/>
      </w:rPr>
      <w:drawing>
        <wp:anchor distT="0" distB="0" distL="114300" distR="114300" simplePos="0" relativeHeight="251674112" behindDoc="1" locked="0" layoutInCell="1" allowOverlap="1" wp14:anchorId="3BF29B95" wp14:editId="36B8423B">
          <wp:simplePos x="0" y="0"/>
          <wp:positionH relativeFrom="column">
            <wp:posOffset>-176530</wp:posOffset>
          </wp:positionH>
          <wp:positionV relativeFrom="paragraph">
            <wp:posOffset>-10160</wp:posOffset>
          </wp:positionV>
          <wp:extent cx="5759450" cy="135255"/>
          <wp:effectExtent l="0" t="0" r="0" b="0"/>
          <wp:wrapSquare wrapText="bothSides"/>
          <wp:docPr id="11697847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1260" name="Picture 1911491260"/>
                  <pic:cNvPicPr/>
                </pic:nvPicPr>
                <pic:blipFill>
                  <a:blip r:embed="rId1">
                    <a:extLst>
                      <a:ext uri="{28A0092B-C50C-407E-A947-70E740481C1C}">
                        <a14:useLocalDpi xmlns:a14="http://schemas.microsoft.com/office/drawing/2010/main" val="0"/>
                      </a:ext>
                    </a:extLst>
                  </a:blip>
                  <a:stretch>
                    <a:fillRect/>
                  </a:stretch>
                </pic:blipFill>
                <pic:spPr>
                  <a:xfrm>
                    <a:off x="0" y="0"/>
                    <a:ext cx="5759450" cy="135255"/>
                  </a:xfrm>
                  <a:prstGeom prst="rect">
                    <a:avLst/>
                  </a:prstGeom>
                </pic:spPr>
              </pic:pic>
            </a:graphicData>
          </a:graphic>
        </wp:anchor>
      </w:drawing>
    </w:r>
    <w:r>
      <w:rPr>
        <w:rStyle w:val="PageNumering"/>
      </w:rPr>
      <w:fldChar w:fldCharType="begin"/>
    </w:r>
    <w:r>
      <w:rPr>
        <w:rStyle w:val="PageNumering"/>
      </w:rPr>
      <w:instrText xml:space="preserve"> PAGE   \* MERGEFORMAT </w:instrText>
    </w:r>
    <w:r>
      <w:rPr>
        <w:rStyle w:val="PageNumering"/>
      </w:rPr>
      <w:fldChar w:fldCharType="separate"/>
    </w:r>
    <w:r>
      <w:rPr>
        <w:rStyle w:val="PageNumering"/>
      </w:rPr>
      <w:t>19</w:t>
    </w:r>
    <w:r>
      <w:rPr>
        <w:rStyle w:val="PageNumering"/>
      </w:rPr>
      <w:fldChar w:fldCharType="end"/>
    </w:r>
    <w:r>
      <w:rPr>
        <w:rStyle w:val="PageNumering"/>
      </w:rPr>
      <w:t xml:space="preserve"> </w:t>
    </w:r>
    <w:r>
      <w:rPr>
        <w:rStyle w:val="PageNumering"/>
      </w:rPr>
      <w:tab/>
    </w:r>
    <w:r w:rsidRPr="00517456">
      <w:t>Issues Paper: Access to Basic Transaction Accounts</w:t>
    </w:r>
  </w:p>
  <w:p w14:paraId="18F6E5C0" w14:textId="062D43B4" w:rsidR="000D3783" w:rsidRDefault="000D378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765D" w14:textId="33F57213" w:rsidR="001A669C" w:rsidRDefault="001A669C" w:rsidP="001A669C">
    <w:pPr>
      <w:pStyle w:val="Footer"/>
      <w:spacing w:after="60"/>
      <w:rPr>
        <w:rStyle w:val="PageNumering"/>
      </w:rPr>
    </w:pPr>
    <w:r>
      <w:rPr>
        <w:rFonts w:asciiTheme="minorHAnsi" w:hAnsiTheme="minorHAnsi"/>
        <w:b/>
        <w:bCs/>
        <w:noProof/>
        <w:szCs w:val="14"/>
      </w:rPr>
      <w:drawing>
        <wp:inline distT="0" distB="0" distL="0" distR="0" wp14:anchorId="412224A8" wp14:editId="6A260177">
          <wp:extent cx="5759450" cy="135255"/>
          <wp:effectExtent l="0" t="0" r="0" b="0"/>
          <wp:docPr id="1390355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91260" name="Picture 1911491260"/>
                  <pic:cNvPicPr/>
                </pic:nvPicPr>
                <pic:blipFill>
                  <a:blip r:embed="rId1">
                    <a:extLst>
                      <a:ext uri="{28A0092B-C50C-407E-A947-70E740481C1C}">
                        <a14:useLocalDpi xmlns:a14="http://schemas.microsoft.com/office/drawing/2010/main" val="0"/>
                      </a:ext>
                    </a:extLst>
                  </a:blip>
                  <a:stretch>
                    <a:fillRect/>
                  </a:stretch>
                </pic:blipFill>
                <pic:spPr>
                  <a:xfrm>
                    <a:off x="0" y="0"/>
                    <a:ext cx="5759450" cy="135255"/>
                  </a:xfrm>
                  <a:prstGeom prst="rect">
                    <a:avLst/>
                  </a:prstGeom>
                </pic:spPr>
              </pic:pic>
            </a:graphicData>
          </a:graphic>
        </wp:inline>
      </w:drawing>
    </w:r>
  </w:p>
  <w:p w14:paraId="65F4BDE0" w14:textId="77777777" w:rsidR="001A669C" w:rsidRPr="00746B3D" w:rsidRDefault="001A669C" w:rsidP="001A669C">
    <w:pPr>
      <w:pStyle w:val="Footer"/>
      <w:tabs>
        <w:tab w:val="left" w:pos="0"/>
      </w:tabs>
      <w:ind w:left="-283"/>
    </w:pPr>
    <w:r>
      <w:rPr>
        <w:rStyle w:val="PageNumering"/>
      </w:rPr>
      <w:fldChar w:fldCharType="begin"/>
    </w:r>
    <w:r>
      <w:rPr>
        <w:rStyle w:val="PageNumering"/>
      </w:rPr>
      <w:instrText xml:space="preserve"> PAGE   \* MERGEFORMAT </w:instrText>
    </w:r>
    <w:r>
      <w:rPr>
        <w:rStyle w:val="PageNumering"/>
      </w:rPr>
      <w:fldChar w:fldCharType="separate"/>
    </w:r>
    <w:r>
      <w:rPr>
        <w:rStyle w:val="PageNumering"/>
      </w:rPr>
      <w:t>17</w:t>
    </w:r>
    <w:r>
      <w:rPr>
        <w:rStyle w:val="PageNumering"/>
      </w:rPr>
      <w:fldChar w:fldCharType="end"/>
    </w:r>
    <w:r>
      <w:rPr>
        <w:rStyle w:val="PageNumering"/>
      </w:rPr>
      <w:t xml:space="preserve"> </w:t>
    </w:r>
    <w:r>
      <w:rPr>
        <w:rStyle w:val="PageNumering"/>
      </w:rPr>
      <w:tab/>
    </w:r>
    <w:r w:rsidRPr="00517456">
      <w:t>Issues Paper: Access to Basic Transaction Accounts</w:t>
    </w:r>
  </w:p>
  <w:p w14:paraId="79253062" w14:textId="36D7ED9F" w:rsidR="009A33F5" w:rsidRDefault="009A3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0BD38" w14:textId="77777777" w:rsidR="0007029A" w:rsidRPr="00746B3D" w:rsidRDefault="0007029A" w:rsidP="002C57F3">
      <w:pPr>
        <w:pStyle w:val="Footer"/>
        <w:spacing w:after="120"/>
        <w:rPr>
          <w:rFonts w:ascii="Segoe UI Black" w:hAnsi="Segoe UI Black"/>
          <w:b/>
          <w:bCs/>
          <w:color w:val="6B2A7F" w:themeColor="accent3"/>
          <w:lang w:val="en-US"/>
        </w:rPr>
      </w:pPr>
      <w:r w:rsidRPr="00746B3D">
        <w:rPr>
          <w:rFonts w:ascii="Segoe UI Black" w:hAnsi="Segoe UI Black"/>
          <w:b/>
          <w:bCs/>
          <w:color w:val="6B2A7F" w:themeColor="accent3"/>
          <w:lang w:val="en-US"/>
        </w:rPr>
        <w:t>____________</w:t>
      </w:r>
    </w:p>
  </w:footnote>
  <w:footnote w:type="continuationSeparator" w:id="0">
    <w:p w14:paraId="36A11D0D" w14:textId="77777777" w:rsidR="0007029A" w:rsidRDefault="0007029A" w:rsidP="00446A38">
      <w:r>
        <w:continuationSeparator/>
      </w:r>
    </w:p>
  </w:footnote>
  <w:footnote w:type="continuationNotice" w:id="1">
    <w:p w14:paraId="1CBE9AF6" w14:textId="77777777" w:rsidR="0007029A" w:rsidRDefault="0007029A">
      <w:pPr>
        <w:spacing w:after="0"/>
      </w:pPr>
    </w:p>
  </w:footnote>
  <w:footnote w:id="2">
    <w:p w14:paraId="55A91A9A" w14:textId="77777777" w:rsidR="00DE54F4" w:rsidRPr="00051F65" w:rsidRDefault="00DE54F4" w:rsidP="00DE54F4">
      <w:pPr>
        <w:pStyle w:val="FootnoteText"/>
      </w:pPr>
      <w:r w:rsidRPr="00051F65">
        <w:rPr>
          <w:rStyle w:val="FootnoteReference"/>
          <w:vertAlign w:val="baseline"/>
        </w:rPr>
        <w:footnoteRef/>
      </w:r>
      <w:r w:rsidRPr="00051F65">
        <w:t xml:space="preserve"> </w:t>
      </w:r>
      <w:r w:rsidRPr="00051F65">
        <w:tab/>
        <w:t>A transaction account refers to a New Zealand dollar financial account that meets peoples’ transactional needs (e.g. payments and withdrawals). This term is used in this paper (rather than ‘bank account’) as transaction accounts are provided by a range of entities including banks, credit unions, and building societies</w:t>
      </w:r>
    </w:p>
  </w:footnote>
  <w:footnote w:id="3">
    <w:p w14:paraId="31A9CAFB" w14:textId="77777777" w:rsidR="00E5343B" w:rsidRPr="00E03513" w:rsidRDefault="00E5343B" w:rsidP="00E5343B">
      <w:pPr>
        <w:pStyle w:val="FootnoteText"/>
        <w:rPr>
          <w:lang w:val="mi-NZ"/>
        </w:rPr>
      </w:pPr>
      <w:r>
        <w:rPr>
          <w:rStyle w:val="FootnoteReference"/>
        </w:rPr>
        <w:footnoteRef/>
      </w:r>
      <w:r>
        <w:t xml:space="preserve"> </w:t>
      </w:r>
      <w:hyperlink r:id="rId1" w:history="1">
        <w:r w:rsidRPr="00E03513">
          <w:rPr>
            <w:rStyle w:val="Hyperlink"/>
          </w:rPr>
          <w:t>Westpac-NZ-Access-to-Banking-in-Aotearoa-Report.pdf</w:t>
        </w:r>
      </w:hyperlink>
    </w:p>
  </w:footnote>
  <w:footnote w:id="4">
    <w:p w14:paraId="59DCC6BD" w14:textId="77777777" w:rsidR="00E5343B" w:rsidRPr="00E03513" w:rsidRDefault="00E5343B" w:rsidP="00E5343B">
      <w:pPr>
        <w:pStyle w:val="FootnoteText"/>
        <w:rPr>
          <w:lang w:val="mi-NZ"/>
        </w:rPr>
      </w:pPr>
      <w:r>
        <w:rPr>
          <w:rStyle w:val="FootnoteReference"/>
        </w:rPr>
        <w:footnoteRef/>
      </w:r>
      <w:r>
        <w:t xml:space="preserve"> </w:t>
      </w:r>
      <w:hyperlink r:id="rId2" w:history="1">
        <w:r w:rsidRPr="00E03513">
          <w:rPr>
            <w:rStyle w:val="Hyperlink"/>
          </w:rPr>
          <w:t>Paying the Price – A report into issues prisoners face around access to banking | FinCap</w:t>
        </w:r>
      </w:hyperlink>
    </w:p>
  </w:footnote>
  <w:footnote w:id="5">
    <w:p w14:paraId="05C12C69" w14:textId="77777777" w:rsidR="00E5343B" w:rsidRPr="00E03513" w:rsidRDefault="00E5343B" w:rsidP="00E5343B">
      <w:pPr>
        <w:pStyle w:val="FootnoteText"/>
        <w:rPr>
          <w:lang w:val="mi-NZ"/>
        </w:rPr>
      </w:pPr>
      <w:r>
        <w:rPr>
          <w:rStyle w:val="FootnoteReference"/>
        </w:rPr>
        <w:footnoteRef/>
      </w:r>
      <w:r>
        <w:t xml:space="preserve"> </w:t>
      </w:r>
      <w:hyperlink r:id="rId3" w:history="1">
        <w:r w:rsidRPr="00E03513">
          <w:rPr>
            <w:rStyle w:val="Hyperlink"/>
          </w:rPr>
          <w:t>irp.cdn-website.com/96a27c73/files/uploaded/Community Networks Aotearoa _ Better Banking 2023 Report.pdf</w:t>
        </w:r>
      </w:hyperlink>
    </w:p>
  </w:footnote>
  <w:footnote w:id="6">
    <w:p w14:paraId="5ED17343" w14:textId="77777777" w:rsidR="00E5343B" w:rsidRPr="0089167F" w:rsidRDefault="00E5343B" w:rsidP="00E5343B">
      <w:pPr>
        <w:pStyle w:val="FootnoteText"/>
        <w:rPr>
          <w:color w:val="auto"/>
          <w:lang w:val="mi-NZ"/>
        </w:rPr>
      </w:pPr>
      <w:r w:rsidRPr="0089167F">
        <w:rPr>
          <w:rStyle w:val="FootnoteReference"/>
          <w:color w:val="auto"/>
        </w:rPr>
        <w:footnoteRef/>
      </w:r>
      <w:r w:rsidRPr="0089167F">
        <w:rPr>
          <w:color w:val="auto"/>
        </w:rPr>
        <w:t xml:space="preserve"> </w:t>
      </w:r>
      <w:hyperlink r:id="rId4" w:history="1">
        <w:r w:rsidRPr="0089167F">
          <w:rPr>
            <w:rStyle w:val="Hyperlink"/>
          </w:rPr>
          <w:t>Commerce Commission - Market study into personal banking services (comcom.govt.nz)</w:t>
        </w:r>
      </w:hyperlink>
    </w:p>
  </w:footnote>
  <w:footnote w:id="7">
    <w:p w14:paraId="550CBC35" w14:textId="3091A3B1" w:rsidR="00492EA7" w:rsidRPr="007C33B4" w:rsidRDefault="00492EA7" w:rsidP="00746B3D">
      <w:pPr>
        <w:pStyle w:val="FootnoteText"/>
      </w:pPr>
      <w:r w:rsidRPr="00051F65">
        <w:rPr>
          <w:rStyle w:val="FootnoteReference"/>
          <w:vertAlign w:val="baseline"/>
        </w:rPr>
        <w:footnoteRef/>
      </w:r>
      <w:r w:rsidRPr="00051F65">
        <w:t xml:space="preserve"> </w:t>
      </w:r>
      <w:r w:rsidR="00746B3D" w:rsidRPr="00051F65">
        <w:tab/>
      </w:r>
      <w:r w:rsidR="00E7591E" w:rsidRPr="00051F65">
        <w:t xml:space="preserve">World Bank Group. </w:t>
      </w:r>
      <w:hyperlink r:id="rId5" w:anchor=":~:text=The%202021%20edition%2C%20based%20on,behaviors%20that%20enable%20financial%20resilience." w:history="1">
        <w:r w:rsidR="00E7591E" w:rsidRPr="007C33B4">
          <w:rPr>
            <w:rStyle w:val="Hyperlink"/>
            <w:color w:val="595959" w:themeColor="text1" w:themeTint="A6"/>
          </w:rPr>
          <w:t>The Global Findex Database 2021</w:t>
        </w:r>
      </w:hyperlink>
      <w:r w:rsidR="00E7591E" w:rsidRPr="007C33B4">
        <w:rPr>
          <w:rStyle w:val="Hyperlink"/>
          <w:color w:val="595959" w:themeColor="text1" w:themeTint="A6"/>
          <w:u w:val="none"/>
        </w:rPr>
        <w:t>.</w:t>
      </w:r>
    </w:p>
  </w:footnote>
  <w:footnote w:id="8">
    <w:p w14:paraId="75909662" w14:textId="25008D7E" w:rsidR="00475913" w:rsidRPr="007C33B4" w:rsidRDefault="00475913" w:rsidP="00746B3D">
      <w:pPr>
        <w:pStyle w:val="FootnoteText"/>
      </w:pPr>
      <w:r w:rsidRPr="007C33B4">
        <w:rPr>
          <w:rStyle w:val="FootnoteReference"/>
          <w:vertAlign w:val="baseline"/>
        </w:rPr>
        <w:footnoteRef/>
      </w:r>
      <w:r w:rsidRPr="007C33B4">
        <w:t xml:space="preserve"> </w:t>
      </w:r>
      <w:r w:rsidR="00746B3D" w:rsidRPr="007C33B4">
        <w:tab/>
      </w:r>
      <w:hyperlink r:id="rId6" w:history="1">
        <w:r w:rsidR="00F433C8">
          <w:rPr>
            <w:rStyle w:val="Hyperlink"/>
          </w:rPr>
          <w:t>FMA Consumer Confidence Survey 2024</w:t>
        </w:r>
      </w:hyperlink>
    </w:p>
  </w:footnote>
  <w:footnote w:id="9">
    <w:p w14:paraId="649D1DE9" w14:textId="7D6FF23C" w:rsidR="00492EA7" w:rsidRPr="007C33B4" w:rsidRDefault="00492EA7" w:rsidP="00746B3D">
      <w:pPr>
        <w:pStyle w:val="FootnoteText"/>
      </w:pPr>
      <w:r w:rsidRPr="007C33B4">
        <w:rPr>
          <w:rStyle w:val="FootnoteReference"/>
          <w:vertAlign w:val="baseline"/>
        </w:rPr>
        <w:footnoteRef/>
      </w:r>
      <w:r w:rsidRPr="007C33B4">
        <w:t xml:space="preserve"> </w:t>
      </w:r>
      <w:r w:rsidR="00746B3D" w:rsidRPr="007C33B4">
        <w:tab/>
      </w:r>
      <w:hyperlink r:id="rId7" w:history="1">
        <w:r w:rsidR="007C33B4" w:rsidRPr="007C33B4">
          <w:rPr>
            <w:rStyle w:val="Hyperlink"/>
          </w:rPr>
          <w:t>First steps to financial inclusion - Opportunities to promote inclusive customer onboarding - Reserve Bank of New Zealand - Te Pūtea Matua</w:t>
        </w:r>
      </w:hyperlink>
    </w:p>
  </w:footnote>
  <w:footnote w:id="10">
    <w:p w14:paraId="2584A69E" w14:textId="225188AB" w:rsidR="004F1E27" w:rsidRPr="00051F65" w:rsidRDefault="004F1E27" w:rsidP="00746B3D">
      <w:pPr>
        <w:pStyle w:val="FootnoteText"/>
      </w:pPr>
      <w:r w:rsidRPr="007C33B4">
        <w:rPr>
          <w:rStyle w:val="FootnoteReference"/>
          <w:vertAlign w:val="baseline"/>
        </w:rPr>
        <w:footnoteRef/>
      </w:r>
      <w:r w:rsidRPr="007C33B4">
        <w:t xml:space="preserve"> </w:t>
      </w:r>
      <w:r w:rsidR="00746B3D" w:rsidRPr="007C33B4">
        <w:tab/>
      </w:r>
      <w:r w:rsidRPr="007C33B4">
        <w:t>See Appendix One for interpretation of key concepts</w:t>
      </w:r>
      <w:r w:rsidRPr="00051F65">
        <w:t xml:space="preserve"> relating to financial inclusion and varying levels of access to financial products and services. </w:t>
      </w:r>
    </w:p>
  </w:footnote>
  <w:footnote w:id="11">
    <w:p w14:paraId="5A90245D" w14:textId="7112117E" w:rsidR="009F7BE8" w:rsidRPr="00746B3D" w:rsidRDefault="009F7BE8" w:rsidP="00746B3D">
      <w:pPr>
        <w:pStyle w:val="FootnoteText"/>
        <w:rPr>
          <w:rStyle w:val="Hyperlink"/>
        </w:rPr>
      </w:pPr>
      <w:r w:rsidRPr="00746B3D">
        <w:rPr>
          <w:rStyle w:val="FootnoteReference"/>
          <w:vertAlign w:val="baseline"/>
        </w:rPr>
        <w:footnoteRef/>
      </w:r>
      <w:r w:rsidRPr="00746B3D">
        <w:t xml:space="preserve"> </w:t>
      </w:r>
      <w:r w:rsidR="00746B3D">
        <w:tab/>
      </w:r>
      <w:hyperlink r:id="rId8" w:history="1">
        <w:r w:rsidR="000F1866" w:rsidRPr="00746B3D">
          <w:rPr>
            <w:rStyle w:val="Hyperlink"/>
          </w:rPr>
          <w:t xml:space="preserve">World Bank Group. (2017). Financial Inclusion and Inclusive Growth </w:t>
        </w:r>
        <w:r w:rsidR="00AA52A3" w:rsidRPr="00746B3D">
          <w:rPr>
            <w:rStyle w:val="Hyperlink"/>
          </w:rPr>
          <w:t>- A</w:t>
        </w:r>
        <w:r w:rsidR="000F1866" w:rsidRPr="00746B3D">
          <w:rPr>
            <w:rStyle w:val="Hyperlink"/>
          </w:rPr>
          <w:t xml:space="preserve"> Review of Recent Empirical Evidence.</w:t>
        </w:r>
      </w:hyperlink>
    </w:p>
  </w:footnote>
  <w:footnote w:id="12">
    <w:p w14:paraId="1F53369D" w14:textId="77777777" w:rsidR="00695276" w:rsidRPr="00746B3D" w:rsidRDefault="00695276" w:rsidP="00695276">
      <w:pPr>
        <w:pStyle w:val="FootnoteText"/>
      </w:pPr>
      <w:r w:rsidRPr="00746B3D">
        <w:rPr>
          <w:rStyle w:val="FootnoteReference"/>
          <w:vertAlign w:val="baseline"/>
        </w:rPr>
        <w:footnoteRef/>
      </w:r>
      <w:r w:rsidRPr="00746B3D">
        <w:t xml:space="preserve"> </w:t>
      </w:r>
      <w:r>
        <w:tab/>
      </w:r>
      <w:hyperlink r:id="rId9" w:history="1">
        <w:r w:rsidRPr="00746B3D">
          <w:rPr>
            <w:rStyle w:val="Hyperlink"/>
          </w:rPr>
          <w:t>World Bank. (2021). A Snapshot Payment Systems Worldwide - Summary Outcomes of the Sixth Global Payment Systems Survey</w:t>
        </w:r>
      </w:hyperlink>
    </w:p>
  </w:footnote>
  <w:footnote w:id="13">
    <w:p w14:paraId="37387A05" w14:textId="55A407C1" w:rsidR="00C251A5" w:rsidRPr="00C251A5" w:rsidRDefault="00C251A5">
      <w:pPr>
        <w:pStyle w:val="FootnoteText"/>
        <w:rPr>
          <w:lang w:val="mi-NZ"/>
        </w:rPr>
      </w:pPr>
      <w:r>
        <w:rPr>
          <w:rStyle w:val="FootnoteReference"/>
        </w:rPr>
        <w:footnoteRef/>
      </w:r>
      <w:r>
        <w:t xml:space="preserve"> </w:t>
      </w:r>
      <w:hyperlink r:id="rId10" w:history="1">
        <w:r w:rsidRPr="00720D43">
          <w:rPr>
            <w:rStyle w:val="Hyperlink"/>
          </w:rPr>
          <w:t>https://www.cofr.govt.nz/priority-themes/inclusion.html</w:t>
        </w:r>
      </w:hyperlink>
      <w:r>
        <w:t> </w:t>
      </w:r>
    </w:p>
  </w:footnote>
  <w:footnote w:id="14">
    <w:p w14:paraId="3F62C978" w14:textId="0B410360" w:rsidR="00A053E2" w:rsidRPr="00A053E2" w:rsidRDefault="00A053E2">
      <w:pPr>
        <w:pStyle w:val="FootnoteText"/>
        <w:rPr>
          <w:lang w:val="mi-NZ"/>
        </w:rPr>
      </w:pPr>
      <w:r>
        <w:rPr>
          <w:rStyle w:val="FootnoteReference"/>
        </w:rPr>
        <w:footnoteRef/>
      </w:r>
      <w:r>
        <w:t xml:space="preserve"> </w:t>
      </w:r>
      <w:hyperlink r:id="rId11" w:history="1">
        <w:r w:rsidR="009C32DF" w:rsidRPr="003C1779">
          <w:rPr>
            <w:rStyle w:val="Hyperlink"/>
          </w:rPr>
          <w:t>https://www.cofr.govt.nz/news-and-publications/quarterly-statement-by-cofr-august-2024.html</w:t>
        </w:r>
      </w:hyperlink>
      <w:r w:rsidR="009C32DF">
        <w:t xml:space="preserve"> </w:t>
      </w:r>
    </w:p>
  </w:footnote>
  <w:footnote w:id="15">
    <w:p w14:paraId="4DDBFBDF" w14:textId="2F79C7C2" w:rsidR="004531FF" w:rsidRPr="004531FF" w:rsidRDefault="004531FF">
      <w:pPr>
        <w:pStyle w:val="FootnoteText"/>
        <w:rPr>
          <w:lang w:val="mi-NZ"/>
        </w:rPr>
      </w:pPr>
      <w:r>
        <w:rPr>
          <w:rStyle w:val="FootnoteReference"/>
        </w:rPr>
        <w:footnoteRef/>
      </w:r>
      <w:r>
        <w:t xml:space="preserve"> </w:t>
      </w:r>
      <w:hyperlink r:id="rId12" w:history="1">
        <w:r w:rsidRPr="003C1779">
          <w:rPr>
            <w:rStyle w:val="Hyperlink"/>
          </w:rPr>
          <w:t>https://www.cofr.govt.nz/about-us/objectives-and-responsibilities.html</w:t>
        </w:r>
      </w:hyperlink>
      <w:r>
        <w:t xml:space="preserve"> </w:t>
      </w:r>
    </w:p>
  </w:footnote>
  <w:footnote w:id="16">
    <w:p w14:paraId="7A91599E" w14:textId="51E609A5" w:rsidR="00492EA7" w:rsidRPr="00051F65" w:rsidRDefault="00492EA7" w:rsidP="00492EA7">
      <w:pPr>
        <w:pStyle w:val="FootnoteText"/>
        <w:rPr>
          <w:lang w:val="mi-NZ"/>
        </w:rPr>
      </w:pPr>
      <w:r w:rsidRPr="00051F65">
        <w:rPr>
          <w:rStyle w:val="FootnoteReference"/>
          <w:vertAlign w:val="baseline"/>
        </w:rPr>
        <w:footnoteRef/>
      </w:r>
      <w:r w:rsidRPr="00051F65">
        <w:t xml:space="preserve"> </w:t>
      </w:r>
      <w:r w:rsidR="008D1FB2" w:rsidRPr="00051F65">
        <w:tab/>
      </w:r>
      <w:hyperlink r:id="rId13" w:history="1">
        <w:r w:rsidRPr="00051F65">
          <w:rPr>
            <w:rStyle w:val="Hyperlink"/>
            <w:color w:val="595959" w:themeColor="text1" w:themeTint="A6"/>
          </w:rPr>
          <w:t>Westpac New Zealand - Helping New Zealanders with their banking.</w:t>
        </w:r>
      </w:hyperlink>
    </w:p>
  </w:footnote>
  <w:footnote w:id="17">
    <w:p w14:paraId="35280AC5" w14:textId="010CD6B0" w:rsidR="00492EA7" w:rsidRPr="00051F65" w:rsidRDefault="00492EA7" w:rsidP="00492EA7">
      <w:pPr>
        <w:pStyle w:val="FootnoteText"/>
        <w:rPr>
          <w:lang w:val="mi-NZ"/>
        </w:rPr>
      </w:pPr>
      <w:r w:rsidRPr="00051F65">
        <w:rPr>
          <w:rStyle w:val="FootnoteReference"/>
          <w:vertAlign w:val="baseline"/>
        </w:rPr>
        <w:footnoteRef/>
      </w:r>
      <w:r w:rsidRPr="00051F65">
        <w:t xml:space="preserve"> </w:t>
      </w:r>
      <w:r w:rsidR="008D1FB2" w:rsidRPr="00051F65">
        <w:tab/>
      </w:r>
      <w:hyperlink r:id="rId14" w:history="1">
        <w:r w:rsidR="00516B50" w:rsidRPr="00051F65">
          <w:rPr>
            <w:rStyle w:val="Hyperlink"/>
            <w:color w:val="595959" w:themeColor="text1" w:themeTint="A6"/>
          </w:rPr>
          <w:t>Westpac NZ Access to Banking in Aotearoa Report 2023.pdf</w:t>
        </w:r>
      </w:hyperlink>
    </w:p>
  </w:footnote>
  <w:footnote w:id="18">
    <w:p w14:paraId="5C31F185" w14:textId="6494C5F3" w:rsidR="00492EA7" w:rsidRPr="00051F65" w:rsidRDefault="00492EA7" w:rsidP="008D1FB2">
      <w:pPr>
        <w:pStyle w:val="FootnoteText"/>
        <w:rPr>
          <w:lang w:val="mi-NZ"/>
        </w:rPr>
      </w:pPr>
      <w:r w:rsidRPr="00051F65">
        <w:rPr>
          <w:rStyle w:val="FootnoteReference"/>
          <w:vertAlign w:val="baseline"/>
        </w:rPr>
        <w:footnoteRef/>
      </w:r>
      <w:r w:rsidRPr="00051F65">
        <w:t xml:space="preserve"> </w:t>
      </w:r>
      <w:r w:rsidR="008D1FB2" w:rsidRPr="00051F65">
        <w:tab/>
      </w:r>
      <w:r w:rsidRPr="00051F65">
        <w:t xml:space="preserve">Victoria Stace is a senior lecturer at Te Waka Herenga Victoria University of Wellington faculty of law: </w:t>
      </w:r>
      <w:hyperlink r:id="rId15" w:history="1">
        <w:r w:rsidRPr="00051F65">
          <w:rPr>
            <w:rStyle w:val="Hyperlink"/>
            <w:color w:val="595959" w:themeColor="text1" w:themeTint="A6"/>
          </w:rPr>
          <w:t>Victoria Stace Profile | Te Herenga Waka — Victoria University of Wellington (wgtn.ac.nz)</w:t>
        </w:r>
      </w:hyperlink>
    </w:p>
  </w:footnote>
  <w:footnote w:id="19">
    <w:p w14:paraId="030B5FE0" w14:textId="3A7AD4F8" w:rsidR="00492EA7" w:rsidRPr="00051F65" w:rsidRDefault="00492EA7" w:rsidP="009024EB">
      <w:pPr>
        <w:pStyle w:val="FootnoteText"/>
        <w:ind w:left="142" w:hanging="142"/>
        <w:rPr>
          <w:b/>
          <w:lang w:val="mi-NZ"/>
        </w:rPr>
      </w:pPr>
      <w:r w:rsidRPr="00051F65">
        <w:rPr>
          <w:rStyle w:val="FootnoteReference"/>
          <w:vertAlign w:val="baseline"/>
        </w:rPr>
        <w:footnoteRef/>
      </w:r>
      <w:r w:rsidRPr="00051F65">
        <w:t xml:space="preserve"> </w:t>
      </w:r>
      <w:r w:rsidR="008D1FB2" w:rsidRPr="00051F65">
        <w:tab/>
      </w:r>
      <w:r w:rsidRPr="00051F65">
        <w:t>FinCap (the National Building Financial Capability Charitable Trust) is a registered charity and the umbrella organisation supporting the 185 local, free financial mentoring services across Aotearoa. https://www.fincap.org.nz/</w:t>
      </w:r>
    </w:p>
  </w:footnote>
  <w:footnote w:id="20">
    <w:p w14:paraId="6669BEB5" w14:textId="287B04A1" w:rsidR="00492EA7" w:rsidRPr="00051F65" w:rsidRDefault="00492EA7" w:rsidP="00492EA7">
      <w:pPr>
        <w:pStyle w:val="FootnoteText"/>
        <w:rPr>
          <w:lang w:val="mi-NZ"/>
        </w:rPr>
      </w:pPr>
      <w:r w:rsidRPr="00051F65">
        <w:rPr>
          <w:rStyle w:val="FootnoteReference"/>
          <w:vertAlign w:val="baseline"/>
        </w:rPr>
        <w:footnoteRef/>
      </w:r>
      <w:r w:rsidRPr="00051F65">
        <w:t xml:space="preserve"> </w:t>
      </w:r>
      <w:hyperlink r:id="rId16" w:history="1">
        <w:r w:rsidRPr="00051F65">
          <w:rPr>
            <w:rStyle w:val="Hyperlink"/>
            <w:color w:val="595959" w:themeColor="text1" w:themeTint="A6"/>
          </w:rPr>
          <w:t>Paying the Price – A report into issues prisoners face around access to banking | FinCap</w:t>
        </w:r>
      </w:hyperlink>
    </w:p>
  </w:footnote>
  <w:footnote w:id="21">
    <w:p w14:paraId="01C617A7" w14:textId="0839B254" w:rsidR="00492EA7" w:rsidRPr="00051F65" w:rsidRDefault="00492EA7" w:rsidP="00492EA7">
      <w:pPr>
        <w:pStyle w:val="FootnoteText"/>
        <w:rPr>
          <w:lang w:val="mi-NZ"/>
        </w:rPr>
      </w:pPr>
      <w:r w:rsidRPr="00051F65">
        <w:rPr>
          <w:rStyle w:val="FootnoteReference"/>
          <w:vertAlign w:val="baseline"/>
        </w:rPr>
        <w:footnoteRef/>
      </w:r>
      <w:r w:rsidRPr="00051F65">
        <w:t xml:space="preserve"> Christians Against Poverty (CAP) offer free debt counselling and money education, helping people to live on a budget, pay off debts and grow in financial capability. </w:t>
      </w:r>
    </w:p>
  </w:footnote>
  <w:footnote w:id="22">
    <w:p w14:paraId="27860962" w14:textId="2304BFAA" w:rsidR="00492EA7" w:rsidRPr="00051F65" w:rsidRDefault="00492EA7" w:rsidP="00492EA7">
      <w:pPr>
        <w:pStyle w:val="FootnoteText"/>
        <w:rPr>
          <w:lang w:val="mi-NZ"/>
        </w:rPr>
      </w:pPr>
      <w:r w:rsidRPr="00051F65">
        <w:rPr>
          <w:rStyle w:val="FootnoteReference"/>
          <w:vertAlign w:val="baseline"/>
        </w:rPr>
        <w:footnoteRef/>
      </w:r>
      <w:r w:rsidRPr="00051F65">
        <w:t xml:space="preserve"> </w:t>
      </w:r>
      <w:r w:rsidRPr="00051F65">
        <w:rPr>
          <w:lang w:val="mi-NZ"/>
        </w:rPr>
        <w:t xml:space="preserve">MyMahi </w:t>
      </w:r>
      <w:r w:rsidR="00F7658A" w:rsidRPr="00051F65">
        <w:rPr>
          <w:lang w:val="mi-NZ"/>
        </w:rPr>
        <w:t xml:space="preserve">is </w:t>
      </w:r>
      <w:r w:rsidRPr="00051F65">
        <w:rPr>
          <w:lang w:val="mi-NZ"/>
        </w:rPr>
        <w:t>an education</w:t>
      </w:r>
      <w:r w:rsidR="004D2131" w:rsidRPr="00051F65">
        <w:rPr>
          <w:lang w:val="mi-NZ"/>
        </w:rPr>
        <w:t>al</w:t>
      </w:r>
      <w:r w:rsidRPr="00051F65">
        <w:rPr>
          <w:lang w:val="mi-NZ"/>
        </w:rPr>
        <w:t xml:space="preserve"> platform that supports learners on their journey through education and employment: https://mymahi.com/</w:t>
      </w:r>
    </w:p>
  </w:footnote>
  <w:footnote w:id="23">
    <w:p w14:paraId="5C22B26B" w14:textId="2D9E0A7A" w:rsidR="00492EA7" w:rsidRPr="00051F65" w:rsidRDefault="00492EA7" w:rsidP="00492EA7">
      <w:pPr>
        <w:pStyle w:val="FootnoteText"/>
        <w:rPr>
          <w:lang w:val="mi-NZ"/>
        </w:rPr>
      </w:pPr>
      <w:r w:rsidRPr="00051F65">
        <w:rPr>
          <w:rStyle w:val="FootnoteReference"/>
          <w:vertAlign w:val="baseline"/>
        </w:rPr>
        <w:footnoteRef/>
      </w:r>
      <w:r w:rsidRPr="00051F65">
        <w:t xml:space="preserve"> Written Submission: MyMahi Petition (July 2023) (www.parliament.nz)</w:t>
      </w:r>
    </w:p>
  </w:footnote>
  <w:footnote w:id="24">
    <w:p w14:paraId="3A239E18" w14:textId="6F2EAA0A" w:rsidR="00492EA7" w:rsidRPr="00051F65" w:rsidRDefault="00492EA7" w:rsidP="009024EB">
      <w:pPr>
        <w:pStyle w:val="FootnoteText"/>
        <w:ind w:left="142" w:hanging="142"/>
        <w:rPr>
          <w:lang w:val="mi-NZ"/>
        </w:rPr>
      </w:pPr>
      <w:r w:rsidRPr="00051F65">
        <w:rPr>
          <w:rStyle w:val="FootnoteReference"/>
          <w:vertAlign w:val="baseline"/>
        </w:rPr>
        <w:footnoteRef/>
      </w:r>
      <w:r w:rsidRPr="00051F65">
        <w:t xml:space="preserve"> Community Networks Aotearoa is the</w:t>
      </w:r>
      <w:r w:rsidRPr="00051F65">
        <w:rPr>
          <w:rFonts w:ascii="Times New Roman" w:hAnsi="Times New Roman" w:cs="Times New Roman"/>
        </w:rPr>
        <w:t> </w:t>
      </w:r>
      <w:r w:rsidRPr="00051F65">
        <w:t xml:space="preserve">umbrella organisation for local community networks, with their membership consisting of not-for-profit and voluntary social service organisations nationwide. </w:t>
      </w:r>
      <w:hyperlink r:id="rId17" w:history="1">
        <w:r w:rsidR="00D73B3C">
          <w:rPr>
            <w:rStyle w:val="Hyperlink"/>
            <w:color w:val="595959" w:themeColor="text1" w:themeTint="A6"/>
          </w:rPr>
          <w:t>communitynetworksaotearoa.org.nz/about</w:t>
        </w:r>
      </w:hyperlink>
      <w:r w:rsidR="00E7591E" w:rsidRPr="00051F65">
        <w:t xml:space="preserve"> </w:t>
      </w:r>
    </w:p>
  </w:footnote>
  <w:footnote w:id="25">
    <w:p w14:paraId="0374D5CA" w14:textId="1FF9BDB6" w:rsidR="00492EA7" w:rsidRPr="00051F65" w:rsidRDefault="00492EA7" w:rsidP="00492EA7">
      <w:pPr>
        <w:pStyle w:val="FootnoteText"/>
        <w:rPr>
          <w:lang w:val="mi-NZ"/>
        </w:rPr>
      </w:pPr>
      <w:r w:rsidRPr="00051F65">
        <w:rPr>
          <w:rStyle w:val="FootnoteReference"/>
          <w:vertAlign w:val="baseline"/>
        </w:rPr>
        <w:footnoteRef/>
      </w:r>
      <w:r w:rsidRPr="00051F65">
        <w:t xml:space="preserve"> </w:t>
      </w:r>
      <w:hyperlink r:id="rId18" w:history="1">
        <w:r w:rsidR="00F960F3" w:rsidRPr="00051F65">
          <w:rPr>
            <w:rStyle w:val="Hyperlink"/>
            <w:color w:val="595959" w:themeColor="text1" w:themeTint="A6"/>
          </w:rPr>
          <w:t>Community Networks Aotearoa. (2023). Better Banking - Creating Ease of Banking for the Not-for-Profit Sector.pdf</w:t>
        </w:r>
      </w:hyperlink>
    </w:p>
  </w:footnote>
  <w:footnote w:id="26">
    <w:p w14:paraId="4DF88288" w14:textId="67054D4A" w:rsidR="009572BE" w:rsidRDefault="009572BE">
      <w:pPr>
        <w:pStyle w:val="FootnoteText"/>
      </w:pPr>
      <w:r>
        <w:rPr>
          <w:rStyle w:val="FootnoteReference"/>
        </w:rPr>
        <w:footnoteRef/>
      </w:r>
      <w:r>
        <w:t xml:space="preserve"> </w:t>
      </w:r>
      <w:hyperlink r:id="rId19" w:history="1">
        <w:r w:rsidRPr="007C33B4">
          <w:rPr>
            <w:rStyle w:val="Hyperlink"/>
          </w:rPr>
          <w:t>First steps to financial inclusion - Opportunities to promote inclusive customer onboarding - Reserve Bank of New Zealand - Te Pūtea Matua</w:t>
        </w:r>
      </w:hyperlink>
    </w:p>
  </w:footnote>
  <w:footnote w:id="27">
    <w:p w14:paraId="343A5C68" w14:textId="50323610" w:rsidR="00492EA7" w:rsidRPr="008D1FB2" w:rsidRDefault="00492EA7" w:rsidP="00492EA7">
      <w:pPr>
        <w:pStyle w:val="FootnoteText"/>
        <w:rPr>
          <w:lang w:val="mi-NZ"/>
        </w:rPr>
      </w:pPr>
      <w:r w:rsidRPr="008D1FB2">
        <w:rPr>
          <w:rStyle w:val="FootnoteReference"/>
          <w:vertAlign w:val="baseline"/>
        </w:rPr>
        <w:footnoteRef/>
      </w:r>
      <w:r w:rsidRPr="008D1FB2">
        <w:t xml:space="preserve"> </w:t>
      </w:r>
      <w:hyperlink r:id="rId20" w:history="1">
        <w:r w:rsidR="00492E7B" w:rsidRPr="008D1FB2">
          <w:rPr>
            <w:rStyle w:val="Hyperlink"/>
            <w:color w:val="595959" w:themeColor="text1" w:themeTint="A6"/>
          </w:rPr>
          <w:t>Commerce Commission NZ. Final Report Personal Banking Services Market Study 2024.pdf (comcom.govt.nz)</w:t>
        </w:r>
      </w:hyperlink>
    </w:p>
  </w:footnote>
  <w:footnote w:id="28">
    <w:p w14:paraId="3DF7DA32" w14:textId="640883B7" w:rsidR="00492EA7" w:rsidRPr="000405AF" w:rsidRDefault="00492EA7" w:rsidP="009024EB">
      <w:pPr>
        <w:pStyle w:val="FootnoteText"/>
        <w:ind w:left="142" w:hanging="142"/>
        <w:rPr>
          <w:lang w:val="mi-NZ"/>
        </w:rPr>
      </w:pPr>
      <w:r w:rsidRPr="008D1FB2">
        <w:rPr>
          <w:rStyle w:val="FootnoteReference"/>
          <w:vertAlign w:val="baseline"/>
        </w:rPr>
        <w:footnoteRef/>
      </w:r>
      <w:r w:rsidRPr="008D1FB2">
        <w:t xml:space="preserve"> </w:t>
      </w:r>
      <w:hyperlink r:id="rId21" w:history="1">
        <w:r w:rsidR="006A368D" w:rsidRPr="008D1FB2">
          <w:rPr>
            <w:rStyle w:val="Hyperlink"/>
            <w:color w:val="595959" w:themeColor="text1" w:themeTint="A6"/>
          </w:rPr>
          <w:t>Commerce Commission NZ. Final Report Personal Banking Services Market Study 2024.pdf (comcom.govt.nz)</w:t>
        </w:r>
      </w:hyperlink>
      <w:r w:rsidR="006A368D">
        <w:t>.</w:t>
      </w:r>
      <w:r w:rsidRPr="008D1FB2" w:rsidDel="00DC1155">
        <w:t xml:space="preserve"> </w:t>
      </w:r>
      <w:r w:rsidRPr="008D1FB2">
        <w:t xml:space="preserve">Work to improve access to bank accounts also relates to the government’s commitment to provide regulatory clarity, protect vulnerable consumers, and grow the economy, and Manifesto Commitment 50 to develop protocols to allow simplified verification to comply with anti-money laundering requirements. See for example, </w:t>
      </w:r>
      <w:hyperlink r:id="rId22" w:anchor=":~:text=The%20Government%20is%20reforming%20financial,Minister%20Chris%20Bishop%20announced%20today." w:history="1">
        <w:r w:rsidRPr="008D1FB2">
          <w:rPr>
            <w:rStyle w:val="Hyperlink"/>
            <w:color w:val="595959" w:themeColor="text1" w:themeTint="A6"/>
          </w:rPr>
          <w:t>Supporting better financial outcomes for Kiwis | Beehive.govt.nz</w:t>
        </w:r>
      </w:hyperlink>
      <w:r w:rsidRPr="008D1FB2">
        <w:t xml:space="preserve"> and </w:t>
      </w:r>
      <w:hyperlink r:id="rId23" w:history="1">
        <w:r w:rsidRPr="008D1FB2">
          <w:rPr>
            <w:rStyle w:val="Hyperlink"/>
            <w:color w:val="595959" w:themeColor="text1" w:themeTint="A6"/>
          </w:rPr>
          <w:t>Rebuilding_the_economy.pdf (nationbuilder.com)</w:t>
        </w:r>
      </w:hyperlink>
    </w:p>
  </w:footnote>
  <w:footnote w:id="29">
    <w:p w14:paraId="08BC1267" w14:textId="26AFE57C" w:rsidR="002A0167" w:rsidRPr="00B114DB" w:rsidRDefault="002A0167" w:rsidP="002A0167">
      <w:pPr>
        <w:pStyle w:val="FootnoteText"/>
        <w:rPr>
          <w:lang w:val="mi-NZ"/>
        </w:rPr>
      </w:pPr>
      <w:r w:rsidRPr="00B114DB">
        <w:rPr>
          <w:rStyle w:val="FootnoteReference"/>
          <w:vertAlign w:val="baseline"/>
        </w:rPr>
        <w:footnoteRef/>
      </w:r>
      <w:r w:rsidRPr="00B114DB">
        <w:t xml:space="preserve"> </w:t>
      </w:r>
      <w:hyperlink r:id="rId24" w:history="1">
        <w:r w:rsidR="000905BB" w:rsidRPr="00B114DB">
          <w:rPr>
            <w:rStyle w:val="Hyperlink"/>
            <w:color w:val="595959" w:themeColor="text1" w:themeTint="A6"/>
          </w:rPr>
          <w:t>Thematic review on financial inclusion - Reserve Bank of New Zealand</w:t>
        </w:r>
      </w:hyperlink>
    </w:p>
  </w:footnote>
  <w:footnote w:id="30">
    <w:p w14:paraId="316E07A6" w14:textId="688967D1" w:rsidR="001829F1" w:rsidRPr="00B114DB" w:rsidRDefault="001829F1" w:rsidP="001829F1">
      <w:pPr>
        <w:pStyle w:val="FootnoteText"/>
        <w:rPr>
          <w:sz w:val="16"/>
          <w:szCs w:val="16"/>
          <w:lang w:val="mi-NZ"/>
        </w:rPr>
      </w:pPr>
      <w:r w:rsidRPr="00B114DB">
        <w:rPr>
          <w:rStyle w:val="FootnoteReference"/>
          <w:vertAlign w:val="baseline"/>
        </w:rPr>
        <w:footnoteRef/>
      </w:r>
      <w:r w:rsidRPr="00B114DB">
        <w:rPr>
          <w:rStyle w:val="FootnoteReference"/>
          <w:vertAlign w:val="baseline"/>
        </w:rPr>
        <w:t xml:space="preserve"> </w:t>
      </w:r>
      <w:r w:rsidR="00B114DB" w:rsidRPr="00B114DB">
        <w:rPr>
          <w:rStyle w:val="FootnoteReference"/>
          <w:vertAlign w:val="baseline"/>
        </w:rPr>
        <w:tab/>
      </w:r>
      <w:r w:rsidR="00190323" w:rsidRPr="00B114DB">
        <w:rPr>
          <w:lang w:val="mi-NZ"/>
        </w:rPr>
        <w:t>World Bank Group.</w:t>
      </w:r>
      <w:r w:rsidR="00190323" w:rsidRPr="00B114DB">
        <w:rPr>
          <w:sz w:val="16"/>
          <w:szCs w:val="16"/>
        </w:rPr>
        <w:t xml:space="preserve"> </w:t>
      </w:r>
      <w:hyperlink r:id="rId25" w:anchor=":~:text=The%202021%20edition%2C%20based%20on,behaviors%20that%20enable%20financial%20resilience." w:history="1">
        <w:r w:rsidR="00B04ED6" w:rsidRPr="00B114DB">
          <w:rPr>
            <w:rStyle w:val="Hyperlink"/>
            <w:color w:val="595959" w:themeColor="text1" w:themeTint="A6"/>
            <w:szCs w:val="12"/>
          </w:rPr>
          <w:t>The Global Findex Database 2021</w:t>
        </w:r>
      </w:hyperlink>
      <w:r w:rsidR="00B04ED6" w:rsidRPr="00B114DB">
        <w:rPr>
          <w:rStyle w:val="Hyperlink"/>
          <w:color w:val="595959" w:themeColor="text1" w:themeTint="A6"/>
          <w:szCs w:val="12"/>
        </w:rPr>
        <w:t>.</w:t>
      </w:r>
    </w:p>
  </w:footnote>
  <w:footnote w:id="31">
    <w:p w14:paraId="65284B83" w14:textId="113DB950" w:rsidR="001829F1" w:rsidRPr="00B114DB" w:rsidRDefault="001829F1" w:rsidP="001829F1">
      <w:pPr>
        <w:pStyle w:val="FootnoteText"/>
        <w:rPr>
          <w:szCs w:val="12"/>
          <w:lang w:val="mi-NZ"/>
        </w:rPr>
      </w:pPr>
      <w:r w:rsidRPr="00B114DB">
        <w:rPr>
          <w:rStyle w:val="FootnoteReference"/>
          <w:szCs w:val="12"/>
          <w:vertAlign w:val="baseline"/>
        </w:rPr>
        <w:footnoteRef/>
      </w:r>
      <w:r w:rsidRPr="00B114DB">
        <w:rPr>
          <w:szCs w:val="12"/>
        </w:rPr>
        <w:t xml:space="preserve"> </w:t>
      </w:r>
      <w:r w:rsidR="000C5BAC" w:rsidRPr="000C5BAC">
        <w:t xml:space="preserve"> </w:t>
      </w:r>
      <w:hyperlink r:id="rId26" w:history="1">
        <w:r w:rsidR="00517713">
          <w:rPr>
            <w:rStyle w:val="Hyperlink"/>
          </w:rPr>
          <w:t>FMA Consumer Confidence Survey 2024</w:t>
        </w:r>
      </w:hyperlink>
      <w:r w:rsidR="00517713">
        <w:t xml:space="preserve"> </w:t>
      </w:r>
    </w:p>
  </w:footnote>
  <w:footnote w:id="32">
    <w:p w14:paraId="55E5C31F" w14:textId="3367E3B0" w:rsidR="001829F1" w:rsidRPr="00B114DB" w:rsidRDefault="001829F1" w:rsidP="001829F1">
      <w:pPr>
        <w:pStyle w:val="FootnoteText"/>
        <w:rPr>
          <w:szCs w:val="12"/>
        </w:rPr>
      </w:pPr>
      <w:r w:rsidRPr="00B114DB">
        <w:rPr>
          <w:rStyle w:val="FootnoteReference"/>
          <w:szCs w:val="12"/>
          <w:vertAlign w:val="baseline"/>
        </w:rPr>
        <w:footnoteRef/>
      </w:r>
      <w:r w:rsidRPr="00B114DB">
        <w:rPr>
          <w:szCs w:val="12"/>
        </w:rPr>
        <w:t xml:space="preserve"> </w:t>
      </w:r>
      <w:hyperlink r:id="rId27" w:history="1">
        <w:r w:rsidR="00091F87" w:rsidRPr="00B114DB">
          <w:rPr>
            <w:rStyle w:val="Hyperlink"/>
            <w:color w:val="595959" w:themeColor="text1" w:themeTint="A6"/>
            <w:szCs w:val="12"/>
          </w:rPr>
          <w:t>Petition of MyMahi: Make it easier for young people to open a bank account. July 2023</w:t>
        </w:r>
      </w:hyperlink>
    </w:p>
  </w:footnote>
  <w:footnote w:id="33">
    <w:p w14:paraId="6FA800DB" w14:textId="70B66E39" w:rsidR="009C40F9" w:rsidRPr="00B114DB" w:rsidRDefault="009C40F9">
      <w:pPr>
        <w:pStyle w:val="FootnoteText"/>
        <w:rPr>
          <w:lang w:val="mi-NZ"/>
        </w:rPr>
      </w:pPr>
      <w:r w:rsidRPr="00B114DB">
        <w:rPr>
          <w:rStyle w:val="FootnoteReference"/>
          <w:vertAlign w:val="baseline"/>
        </w:rPr>
        <w:footnoteRef/>
      </w:r>
      <w:r w:rsidRPr="00B114DB">
        <w:t xml:space="preserve"> </w:t>
      </w:r>
      <w:hyperlink r:id="rId28" w:history="1">
        <w:r w:rsidR="00111716" w:rsidRPr="007C33B4">
          <w:rPr>
            <w:rStyle w:val="Hyperlink"/>
          </w:rPr>
          <w:t>First steps to financial inclusion - Opportunities to promote inclusive customer onboarding - Reserve Bank of New Zealand - Te Pūtea Matua</w:t>
        </w:r>
      </w:hyperlink>
      <w:r w:rsidR="007C33B4">
        <w:t xml:space="preserve"> </w:t>
      </w:r>
    </w:p>
  </w:footnote>
  <w:footnote w:id="34">
    <w:p w14:paraId="227008F6" w14:textId="0172CFE3" w:rsidR="00E754A1" w:rsidRPr="00B114DB" w:rsidRDefault="00E754A1">
      <w:pPr>
        <w:pStyle w:val="FootnoteText"/>
      </w:pPr>
      <w:r w:rsidRPr="00B114DB">
        <w:rPr>
          <w:rStyle w:val="FootnoteReference"/>
          <w:vertAlign w:val="baseline"/>
        </w:rPr>
        <w:footnoteRef/>
      </w:r>
      <w:r w:rsidRPr="00B114DB">
        <w:t xml:space="preserve"> </w:t>
      </w:r>
      <w:hyperlink r:id="rId29" w:history="1">
        <w:r w:rsidR="005E59E3" w:rsidRPr="00B114DB">
          <w:rPr>
            <w:rStyle w:val="Hyperlink"/>
            <w:color w:val="595959" w:themeColor="text1" w:themeTint="A6"/>
          </w:rPr>
          <w:t xml:space="preserve">World Bank Group. (2016). Payment Aspects of Financial Inclusion. </w:t>
        </w:r>
      </w:hyperlink>
      <w:r w:rsidRPr="00B114DB">
        <w:t xml:space="preserve"> </w:t>
      </w:r>
    </w:p>
  </w:footnote>
  <w:footnote w:id="35">
    <w:p w14:paraId="09E16398" w14:textId="76B8C2BB" w:rsidR="005E0659" w:rsidRPr="00B114DB" w:rsidRDefault="005E0659" w:rsidP="005E0659">
      <w:pPr>
        <w:pStyle w:val="FootnoteText"/>
        <w:rPr>
          <w:lang w:val="mi-NZ"/>
        </w:rPr>
      </w:pPr>
      <w:r w:rsidRPr="00B114DB">
        <w:rPr>
          <w:rStyle w:val="FootnoteReference"/>
          <w:vertAlign w:val="baseline"/>
        </w:rPr>
        <w:footnoteRef/>
      </w:r>
      <w:r w:rsidRPr="00B114DB">
        <w:t xml:space="preserve"> </w:t>
      </w:r>
      <w:hyperlink r:id="rId30" w:anchor=":~:text=About%20the%20review&amp;text=This%20thematic%20review%20is%20an,to%20financial%20inclusion%20and%20participation." w:history="1">
        <w:r w:rsidR="00020908" w:rsidRPr="00B114DB">
          <w:rPr>
            <w:rStyle w:val="Hyperlink"/>
            <w:color w:val="595959" w:themeColor="text1" w:themeTint="A6"/>
          </w:rPr>
          <w:t>Reserve Bank of New Zealand. Thematic review on financial inclusion.</w:t>
        </w:r>
      </w:hyperlink>
    </w:p>
  </w:footnote>
  <w:footnote w:id="36">
    <w:p w14:paraId="62C43B7E" w14:textId="75DACB84" w:rsidR="000C5BAC" w:rsidRPr="000C5BAC" w:rsidRDefault="000C5BAC">
      <w:pPr>
        <w:pStyle w:val="FootnoteText"/>
        <w:rPr>
          <w:lang w:val="mi-NZ"/>
        </w:rPr>
      </w:pPr>
      <w:r w:rsidRPr="00C251A5">
        <w:rPr>
          <w:rStyle w:val="FootnoteReference"/>
        </w:rPr>
        <w:footnoteRef/>
      </w:r>
      <w:r w:rsidRPr="00C251A5">
        <w:t xml:space="preserve"> </w:t>
      </w:r>
      <w:hyperlink r:id="rId31" w:history="1">
        <w:r w:rsidR="00111716" w:rsidRPr="00C251A5">
          <w:rPr>
            <w:rStyle w:val="Hyperlink"/>
          </w:rPr>
          <w:t>First steps to financial inclusion - Opportunities to promote inclusive customer onboarding - Reserve Bank of New Zealand - Te Pūtea Matua</w:t>
        </w:r>
      </w:hyperlink>
    </w:p>
  </w:footnote>
  <w:footnote w:id="37">
    <w:p w14:paraId="3698C896" w14:textId="77777777" w:rsidR="00640578" w:rsidRPr="00B114DB" w:rsidRDefault="00640578" w:rsidP="00640578">
      <w:pPr>
        <w:pStyle w:val="FootnoteText"/>
        <w:rPr>
          <w:lang w:val="mi-NZ"/>
        </w:rPr>
      </w:pPr>
      <w:r w:rsidRPr="00B114DB">
        <w:rPr>
          <w:rStyle w:val="FootnoteReference"/>
          <w:vertAlign w:val="baseline"/>
        </w:rPr>
        <w:footnoteRef/>
      </w:r>
      <w:r w:rsidRPr="00B114DB">
        <w:t xml:space="preserve"> </w:t>
      </w:r>
      <w:r>
        <w:tab/>
      </w:r>
      <w:r w:rsidRPr="00B114DB">
        <w:rPr>
          <w:lang w:val="mi-NZ"/>
        </w:rPr>
        <w:t xml:space="preserve"> </w:t>
      </w:r>
      <w:hyperlink r:id="rId32" w:history="1">
        <w:r w:rsidRPr="007C33B4">
          <w:rPr>
            <w:rStyle w:val="Hyperlink"/>
          </w:rPr>
          <w:t>First steps to financial inclusion - Opportunities to promote inclusive customer onboarding - Reserve Bank of New Zealand - Te Pūtea Matua</w:t>
        </w:r>
      </w:hyperlink>
    </w:p>
  </w:footnote>
  <w:footnote w:id="38">
    <w:p w14:paraId="6D154BCE" w14:textId="246E89C6" w:rsidR="002500DE" w:rsidRPr="00B114DB" w:rsidRDefault="002500DE">
      <w:pPr>
        <w:pStyle w:val="FootnoteText"/>
        <w:rPr>
          <w:sz w:val="16"/>
          <w:szCs w:val="16"/>
          <w:lang w:val="mi-NZ"/>
        </w:rPr>
      </w:pPr>
      <w:r w:rsidRPr="00B114DB">
        <w:rPr>
          <w:rStyle w:val="FootnoteReference"/>
          <w:szCs w:val="12"/>
          <w:vertAlign w:val="baseline"/>
        </w:rPr>
        <w:footnoteRef/>
      </w:r>
      <w:r w:rsidRPr="00B114DB">
        <w:rPr>
          <w:sz w:val="16"/>
          <w:szCs w:val="16"/>
        </w:rPr>
        <w:t xml:space="preserve"> </w:t>
      </w:r>
      <w:r w:rsidR="000F4CCF" w:rsidRPr="00B114DB">
        <w:t>Bezemer, V., 2020. Digital Onboarding and Origination: The Cure for Banks' Customer Acquisition Pains. ABA Banking Journal, [online] 11 August. Available at:</w:t>
      </w:r>
      <w:r w:rsidR="000F4CCF" w:rsidRPr="00B114DB">
        <w:rPr>
          <w:rFonts w:ascii="Cambria" w:hAnsi="Cambria" w:cs="Cambria"/>
        </w:rPr>
        <w:t> </w:t>
      </w:r>
      <w:hyperlink r:id="rId33" w:tgtFrame="_blank" w:history="1">
        <w:r w:rsidR="00D73B3C">
          <w:rPr>
            <w:rStyle w:val="Hyperlink"/>
            <w:color w:val="595959" w:themeColor="text1" w:themeTint="A6"/>
          </w:rPr>
          <w:t>bankingjournal.aba.com/2020/08/digital-onboarding-and-origination-the-cure-for-financial-institutions-customeracquisition-pains</w:t>
        </w:r>
      </w:hyperlink>
      <w:r w:rsidR="000F4CCF" w:rsidRPr="00B114DB">
        <w:rPr>
          <w:rFonts w:ascii="Cambria" w:hAnsi="Cambria" w:cs="Cambria"/>
        </w:rPr>
        <w:t> </w:t>
      </w:r>
      <w:r w:rsidR="000F4CCF" w:rsidRPr="00B114DB">
        <w:t>[Accessed 27 November 2024]</w:t>
      </w:r>
    </w:p>
  </w:footnote>
  <w:footnote w:id="39">
    <w:p w14:paraId="09CA7A6D" w14:textId="0F3E49AF" w:rsidR="00A05672" w:rsidRPr="00B114DB" w:rsidRDefault="00A05672">
      <w:pPr>
        <w:pStyle w:val="FootnoteText"/>
        <w:rPr>
          <w:lang w:val="mi-NZ"/>
        </w:rPr>
      </w:pPr>
      <w:r w:rsidRPr="00B114DB">
        <w:rPr>
          <w:rStyle w:val="FootnoteReference"/>
          <w:vertAlign w:val="baseline"/>
        </w:rPr>
        <w:footnoteRef/>
      </w:r>
      <w:r w:rsidRPr="00B114DB">
        <w:t xml:space="preserve"> </w:t>
      </w:r>
      <w:hyperlink r:id="rId34" w:history="1">
        <w:r w:rsidR="00443E70" w:rsidRPr="00B114DB">
          <w:rPr>
            <w:rStyle w:val="Hyperlink"/>
            <w:color w:val="595959" w:themeColor="text1" w:themeTint="A6"/>
          </w:rPr>
          <w:t>Levitin, A.J., 2024. The Financial Inclusion Trilemma. Yale Journal on Regulation, 41(1), pp.109-</w:t>
        </w:r>
        <w:r w:rsidR="00261861" w:rsidRPr="00B114DB">
          <w:rPr>
            <w:rStyle w:val="Hyperlink"/>
            <w:color w:val="595959" w:themeColor="text1" w:themeTint="A6"/>
          </w:rPr>
          <w:t>163.</w:t>
        </w:r>
        <w:r w:rsidR="00443E70" w:rsidRPr="00B114DB">
          <w:rPr>
            <w:rStyle w:val="Hyperlink"/>
            <w:color w:val="595959" w:themeColor="text1" w:themeTint="A6"/>
          </w:rPr>
          <w:t>docx</w:t>
        </w:r>
      </w:hyperlink>
    </w:p>
  </w:footnote>
  <w:footnote w:id="40">
    <w:p w14:paraId="2E4ED6CD" w14:textId="5726345E" w:rsidR="00751CBC" w:rsidRPr="00B114DB" w:rsidRDefault="00751CBC">
      <w:pPr>
        <w:pStyle w:val="FootnoteText"/>
        <w:rPr>
          <w:lang w:val="mi-NZ"/>
        </w:rPr>
      </w:pPr>
      <w:r w:rsidRPr="00B114DB">
        <w:rPr>
          <w:rStyle w:val="FootnoteReference"/>
          <w:vertAlign w:val="baseline"/>
        </w:rPr>
        <w:footnoteRef/>
      </w:r>
      <w:r w:rsidRPr="00B114DB">
        <w:t xml:space="preserve"> </w:t>
      </w:r>
      <w:r w:rsidR="00955EE5">
        <w:t>Ibid</w:t>
      </w:r>
    </w:p>
  </w:footnote>
  <w:footnote w:id="41">
    <w:p w14:paraId="02917FF1" w14:textId="5A880191" w:rsidR="004B2A12" w:rsidRPr="00B114DB" w:rsidRDefault="004B2A12">
      <w:pPr>
        <w:pStyle w:val="FootnoteText"/>
        <w:rPr>
          <w:lang w:val="mi-NZ"/>
        </w:rPr>
      </w:pPr>
      <w:r w:rsidRPr="00B114DB">
        <w:rPr>
          <w:rStyle w:val="FootnoteReference"/>
          <w:vertAlign w:val="baseline"/>
        </w:rPr>
        <w:footnoteRef/>
      </w:r>
      <w:r w:rsidRPr="00B114DB">
        <w:t xml:space="preserve"> </w:t>
      </w:r>
      <w:hyperlink r:id="rId35" w:history="1">
        <w:r w:rsidR="00923C89" w:rsidRPr="00B114DB">
          <w:rPr>
            <w:rStyle w:val="Hyperlink"/>
            <w:color w:val="595959" w:themeColor="text1" w:themeTint="A6"/>
          </w:rPr>
          <w:t>Ibid</w:t>
        </w:r>
      </w:hyperlink>
    </w:p>
  </w:footnote>
  <w:footnote w:id="42">
    <w:p w14:paraId="1029CA2E" w14:textId="7FC0C674" w:rsidR="00822A1E" w:rsidRPr="00822A1E" w:rsidRDefault="00822A1E">
      <w:pPr>
        <w:pStyle w:val="FootnoteText"/>
        <w:rPr>
          <w:lang w:val="mi-NZ"/>
        </w:rPr>
      </w:pPr>
      <w:r>
        <w:rPr>
          <w:rStyle w:val="FootnoteReference"/>
        </w:rPr>
        <w:footnoteRef/>
      </w:r>
      <w:r>
        <w:t xml:space="preserve"> Ozili, P. (2019). </w:t>
      </w:r>
      <w:hyperlink r:id="rId36" w:history="1">
        <w:r w:rsidRPr="00822A1E">
          <w:rPr>
            <w:rStyle w:val="Hyperlink"/>
          </w:rPr>
          <w:t>Financial inclusion research around the world: a Review</w:t>
        </w:r>
      </w:hyperlink>
      <w:r>
        <w:t xml:space="preserve">. </w:t>
      </w:r>
    </w:p>
  </w:footnote>
  <w:footnote w:id="43">
    <w:p w14:paraId="36560542" w14:textId="7399FA5B" w:rsidR="00B60D9F" w:rsidRPr="00B114DB" w:rsidRDefault="00B60D9F">
      <w:pPr>
        <w:pStyle w:val="FootnoteText"/>
        <w:rPr>
          <w:lang w:val="mi-NZ"/>
        </w:rPr>
      </w:pPr>
      <w:r w:rsidRPr="00B114DB">
        <w:rPr>
          <w:rStyle w:val="FootnoteReference"/>
          <w:vertAlign w:val="baseline"/>
        </w:rPr>
        <w:footnoteRef/>
      </w:r>
      <w:r w:rsidRPr="00B114DB">
        <w:t xml:space="preserve"> </w:t>
      </w:r>
      <w:r w:rsidR="00DA738F" w:rsidRPr="00B114DB">
        <w:t>Reserve Bank of New Zealand</w:t>
      </w:r>
      <w:r w:rsidR="004C3CFC" w:rsidRPr="00B114DB">
        <w:t xml:space="preserve">. (2023). </w:t>
      </w:r>
      <w:hyperlink r:id="rId37" w:history="1">
        <w:r w:rsidR="00D61BCC" w:rsidRPr="00B114DB">
          <w:rPr>
            <w:rStyle w:val="Hyperlink"/>
            <w:color w:val="595959" w:themeColor="text1" w:themeTint="A6"/>
          </w:rPr>
          <w:t>The relationship between financial inclusion and financial stability</w:t>
        </w:r>
      </w:hyperlink>
    </w:p>
  </w:footnote>
  <w:footnote w:id="44">
    <w:p w14:paraId="389E1DAE" w14:textId="03161E6C" w:rsidR="00B60D9F" w:rsidRPr="00B114DB" w:rsidRDefault="00B60D9F">
      <w:pPr>
        <w:pStyle w:val="FootnoteText"/>
        <w:rPr>
          <w:lang w:val="mi-NZ"/>
        </w:rPr>
      </w:pPr>
      <w:r w:rsidRPr="00B114DB">
        <w:rPr>
          <w:rStyle w:val="FootnoteReference"/>
          <w:vertAlign w:val="baseline"/>
        </w:rPr>
        <w:footnoteRef/>
      </w:r>
      <w:r w:rsidRPr="00B114DB">
        <w:t xml:space="preserve"> Greater access to transaction accounts can expand the reach of monetary policy tools and, by increasing interest-rate sensitivity in the economy, make monetary policy more effective. This can lead to better control of inflation, improved economic stability, and enhanced policy outcomes: </w:t>
      </w:r>
      <w:hyperlink r:id="rId38" w:history="1">
        <w:r w:rsidRPr="00B114DB">
          <w:rPr>
            <w:rStyle w:val="Hyperlink"/>
            <w:color w:val="595959" w:themeColor="text1" w:themeTint="A6"/>
          </w:rPr>
          <w:t>www.imf.org</w:t>
        </w:r>
      </w:hyperlink>
    </w:p>
  </w:footnote>
  <w:footnote w:id="45">
    <w:p w14:paraId="1328D5E8" w14:textId="4E1419C8" w:rsidR="004C3CFC" w:rsidRPr="00B114DB" w:rsidRDefault="004C3CFC">
      <w:pPr>
        <w:pStyle w:val="FootnoteText"/>
        <w:rPr>
          <w:lang w:val="mi-NZ"/>
        </w:rPr>
      </w:pPr>
      <w:r w:rsidRPr="00B114DB">
        <w:rPr>
          <w:rStyle w:val="FootnoteReference"/>
          <w:vertAlign w:val="baseline"/>
        </w:rPr>
        <w:footnoteRef/>
      </w:r>
      <w:r w:rsidRPr="00B114DB">
        <w:t xml:space="preserve"> </w:t>
      </w:r>
      <w:hyperlink r:id="rId39" w:history="1">
        <w:r w:rsidR="004A2BE7" w:rsidRPr="00B114DB">
          <w:rPr>
            <w:rStyle w:val="Hyperlink"/>
            <w:color w:val="595959" w:themeColor="text1" w:themeTint="A6"/>
          </w:rPr>
          <w:t>Community Networks Aotearoa. (2023). Better Banking - Creating Ease of Banking for the Not-for-Profit Sector.pdf</w:t>
        </w:r>
      </w:hyperlink>
    </w:p>
  </w:footnote>
  <w:footnote w:id="46">
    <w:p w14:paraId="194BF957" w14:textId="023B8982" w:rsidR="005B6268" w:rsidRPr="00B114DB" w:rsidRDefault="005B6268" w:rsidP="005B6268">
      <w:pPr>
        <w:pStyle w:val="FootnoteText"/>
        <w:rPr>
          <w:lang w:val="mi-NZ"/>
        </w:rPr>
      </w:pPr>
      <w:r w:rsidRPr="00B114DB">
        <w:rPr>
          <w:rStyle w:val="FootnoteReference"/>
          <w:vertAlign w:val="baseline"/>
        </w:rPr>
        <w:footnoteRef/>
      </w:r>
      <w:r w:rsidRPr="00B114DB">
        <w:t xml:space="preserve"> </w:t>
      </w:r>
      <w:r w:rsidR="00D60CFD">
        <w:t>Primarily a</w:t>
      </w:r>
      <w:r w:rsidRPr="00B114DB">
        <w:t xml:space="preserve">ssociated with a mismatch between commercial incentives to open transaction accounts, and wider externalities or societal benefits of having widespread access to transaction accounts. See for example, </w:t>
      </w:r>
      <w:hyperlink r:id="rId40" w:history="1">
        <w:r w:rsidRPr="00B114DB">
          <w:rPr>
            <w:rStyle w:val="Hyperlink"/>
            <w:color w:val="595959" w:themeColor="text1" w:themeTint="A6"/>
          </w:rPr>
          <w:t>Mexico’s Tiered KYC: An Update on Market Response | Blog | CGAP</w:t>
        </w:r>
      </w:hyperlink>
    </w:p>
  </w:footnote>
  <w:footnote w:id="47">
    <w:p w14:paraId="12A95048" w14:textId="7C29AC3E" w:rsidR="005B6268" w:rsidRPr="00B114DB" w:rsidRDefault="005B6268" w:rsidP="005B6268">
      <w:pPr>
        <w:pStyle w:val="FootnoteText"/>
        <w:rPr>
          <w:lang w:val="mi-NZ"/>
        </w:rPr>
      </w:pPr>
      <w:r w:rsidRPr="00B114DB">
        <w:rPr>
          <w:rStyle w:val="FootnoteReference"/>
          <w:vertAlign w:val="baseline"/>
        </w:rPr>
        <w:footnoteRef/>
      </w:r>
      <w:r w:rsidRPr="00B114DB">
        <w:t xml:space="preserve"> </w:t>
      </w:r>
      <w:r w:rsidR="00D60CFD">
        <w:t>Primarily a</w:t>
      </w:r>
      <w:r w:rsidRPr="00B114DB">
        <w:t xml:space="preserve">ssociated with the unintended consequences of the international AML/CFT compliance regime on financial inclusion that impact customer onboarding. See for example, </w:t>
      </w:r>
      <w:hyperlink r:id="rId41" w:history="1">
        <w:r w:rsidRPr="00B114DB">
          <w:rPr>
            <w:rStyle w:val="Hyperlink"/>
            <w:color w:val="595959" w:themeColor="text1" w:themeTint="A6"/>
          </w:rPr>
          <w:t>Public Consultation on AML/CFT and Financial Inclusion – proposed changes to FATF Standards</w:t>
        </w:r>
      </w:hyperlink>
    </w:p>
  </w:footnote>
  <w:footnote w:id="48">
    <w:p w14:paraId="23910423" w14:textId="68F8FB94" w:rsidR="00A7706E" w:rsidRPr="00B114DB" w:rsidRDefault="00A7706E">
      <w:pPr>
        <w:pStyle w:val="FootnoteText"/>
        <w:rPr>
          <w:lang w:val="mi-NZ"/>
        </w:rPr>
      </w:pPr>
      <w:r w:rsidRPr="00B114DB">
        <w:rPr>
          <w:rStyle w:val="FootnoteReference"/>
          <w:vertAlign w:val="baseline"/>
        </w:rPr>
        <w:footnoteRef/>
      </w:r>
      <w:r w:rsidR="00B114DB">
        <w:t xml:space="preserve"> </w:t>
      </w:r>
      <w:r w:rsidR="005E5D69" w:rsidRPr="00B114DB">
        <w:t>Commerce Commission NZ. Final Report Personal Banking Services Market Study 2024.pdf</w:t>
      </w:r>
      <w:r w:rsidR="005E5D69" w:rsidRPr="00B114DB">
        <w:rPr>
          <w:rStyle w:val="Hyperlink"/>
          <w:color w:val="595959" w:themeColor="text1" w:themeTint="A6"/>
        </w:rPr>
        <w:t xml:space="preserve">. </w:t>
      </w:r>
      <w:r w:rsidR="005E5D69" w:rsidRPr="00B114DB">
        <w:rPr>
          <w:rStyle w:val="Hyperlink"/>
          <w:color w:val="595959" w:themeColor="text1" w:themeTint="A6"/>
          <w:u w:val="none"/>
        </w:rPr>
        <w:t xml:space="preserve">Available at </w:t>
      </w:r>
      <w:hyperlink r:id="rId42" w:history="1">
        <w:r w:rsidR="002043E7" w:rsidRPr="00B114DB">
          <w:rPr>
            <w:rStyle w:val="Hyperlink"/>
            <w:color w:val="595959" w:themeColor="text1" w:themeTint="A6"/>
          </w:rPr>
          <w:t>www.comcom.govt.nz</w:t>
        </w:r>
      </w:hyperlink>
      <w:r w:rsidR="002043E7" w:rsidRPr="00B114DB">
        <w:rPr>
          <w:rStyle w:val="Hyperlink"/>
          <w:color w:val="595959" w:themeColor="text1" w:themeTint="A6"/>
          <w:u w:val="none"/>
        </w:rPr>
        <w:t xml:space="preserve"> </w:t>
      </w:r>
    </w:p>
  </w:footnote>
  <w:footnote w:id="49">
    <w:p w14:paraId="41643F4F" w14:textId="77777777" w:rsidR="00616618" w:rsidRPr="00B114DB" w:rsidRDefault="00616618" w:rsidP="00616618">
      <w:pPr>
        <w:pStyle w:val="FootnoteText"/>
        <w:rPr>
          <w:lang w:val="mi-NZ"/>
        </w:rPr>
      </w:pPr>
      <w:r w:rsidRPr="00B114DB">
        <w:rPr>
          <w:rStyle w:val="FootnoteReference"/>
          <w:vertAlign w:val="baseline"/>
        </w:rPr>
        <w:footnoteRef/>
      </w:r>
      <w:r w:rsidRPr="00B114DB">
        <w:t xml:space="preserve"> World Bank, 2022. Financial Inclusion Overview. [online] Available at:</w:t>
      </w:r>
      <w:r w:rsidRPr="00B114DB">
        <w:rPr>
          <w:rFonts w:ascii="Cambria" w:hAnsi="Cambria" w:cs="Cambria"/>
        </w:rPr>
        <w:t> </w:t>
      </w:r>
      <w:hyperlink r:id="rId43" w:tgtFrame="_blank" w:history="1">
        <w:r w:rsidRPr="00B114DB">
          <w:rPr>
            <w:rStyle w:val="Hyperlink"/>
            <w:color w:val="595959" w:themeColor="text1" w:themeTint="A6"/>
          </w:rPr>
          <w:t>worldbank.org/en/topic/financialinclusion/overview</w:t>
        </w:r>
      </w:hyperlink>
      <w:r w:rsidRPr="00B114DB">
        <w:rPr>
          <w:rFonts w:ascii="Cambria" w:hAnsi="Cambria" w:cs="Cambria"/>
        </w:rPr>
        <w:t> </w:t>
      </w:r>
    </w:p>
  </w:footnote>
  <w:footnote w:id="50">
    <w:p w14:paraId="3DDD939D" w14:textId="77777777" w:rsidR="00616618" w:rsidRPr="00B114DB" w:rsidRDefault="00616618" w:rsidP="00616618">
      <w:pPr>
        <w:pStyle w:val="FootnoteText"/>
      </w:pPr>
      <w:r w:rsidRPr="00B114DB">
        <w:rPr>
          <w:rStyle w:val="FootnoteReference"/>
          <w:vertAlign w:val="baseline"/>
        </w:rPr>
        <w:footnoteRef/>
      </w:r>
      <w:r w:rsidRPr="00B114DB">
        <w:t xml:space="preserve"> Ibid</w:t>
      </w:r>
    </w:p>
  </w:footnote>
  <w:footnote w:id="51">
    <w:p w14:paraId="7C2579DE" w14:textId="0B8837DC" w:rsidR="000A2E02" w:rsidRPr="00B114DB" w:rsidRDefault="000A2E02" w:rsidP="000A2E02">
      <w:pPr>
        <w:pStyle w:val="FootnoteText"/>
        <w:rPr>
          <w:lang w:val="mi-NZ"/>
        </w:rPr>
      </w:pPr>
      <w:r w:rsidRPr="00B114DB">
        <w:rPr>
          <w:rStyle w:val="FootnoteReference"/>
          <w:vertAlign w:val="baseline"/>
        </w:rPr>
        <w:footnoteRef/>
      </w:r>
      <w:r w:rsidRPr="00B114DB">
        <w:t xml:space="preserve"> </w:t>
      </w:r>
      <w:r w:rsidR="00335049" w:rsidRPr="00B114DB">
        <w:t>Simplified Account (www.bfa.ao)</w:t>
      </w:r>
    </w:p>
  </w:footnote>
  <w:footnote w:id="52">
    <w:p w14:paraId="44C1428B" w14:textId="4CCA894D" w:rsidR="000A2E02" w:rsidRPr="00B114DB" w:rsidRDefault="000A2E02" w:rsidP="000A2E02">
      <w:pPr>
        <w:pStyle w:val="FootnoteText"/>
        <w:rPr>
          <w:lang w:val="mi-NZ"/>
        </w:rPr>
      </w:pPr>
      <w:r w:rsidRPr="00B114DB">
        <w:rPr>
          <w:rStyle w:val="FootnoteReference"/>
          <w:vertAlign w:val="baseline"/>
        </w:rPr>
        <w:footnoteRef/>
      </w:r>
      <w:r w:rsidRPr="00B114DB">
        <w:t xml:space="preserve"> </w:t>
      </w:r>
      <w:hyperlink r:id="rId44" w:history="1">
        <w:r w:rsidR="005E70CF" w:rsidRPr="00B114DB">
          <w:rPr>
            <w:rStyle w:val="Hyperlink"/>
            <w:color w:val="595959" w:themeColor="text1" w:themeTint="A6"/>
          </w:rPr>
          <w:t>World Bank, 2023. Payment Systems Worldwide: A Snapshot.</w:t>
        </w:r>
      </w:hyperlink>
    </w:p>
  </w:footnote>
  <w:footnote w:id="53">
    <w:p w14:paraId="4522A2F1" w14:textId="594876F0" w:rsidR="000A2E02" w:rsidRPr="00B114DB" w:rsidRDefault="000A2E02" w:rsidP="000A2E02">
      <w:pPr>
        <w:pStyle w:val="FootnoteText"/>
        <w:rPr>
          <w:lang w:val="mi-NZ"/>
        </w:rPr>
      </w:pPr>
      <w:r w:rsidRPr="00B114DB">
        <w:rPr>
          <w:rStyle w:val="FootnoteReference"/>
          <w:vertAlign w:val="baseline"/>
        </w:rPr>
        <w:footnoteRef/>
      </w:r>
      <w:r w:rsidRPr="00B114DB">
        <w:t xml:space="preserve"> </w:t>
      </w:r>
      <w:hyperlink r:id="rId45" w:history="1">
        <w:r w:rsidR="005E70CF" w:rsidRPr="00B114DB">
          <w:rPr>
            <w:rStyle w:val="Hyperlink"/>
            <w:color w:val="595959" w:themeColor="text1" w:themeTint="A6"/>
          </w:rPr>
          <w:t>Ibid</w:t>
        </w:r>
      </w:hyperlink>
    </w:p>
  </w:footnote>
  <w:footnote w:id="54">
    <w:p w14:paraId="62C00B82" w14:textId="6D9C76C0" w:rsidR="00895289" w:rsidRPr="00895289" w:rsidRDefault="00895289">
      <w:pPr>
        <w:pStyle w:val="FootnoteText"/>
        <w:rPr>
          <w:lang w:val="mi-NZ"/>
        </w:rPr>
      </w:pPr>
      <w:r>
        <w:rPr>
          <w:rStyle w:val="FootnoteReference"/>
        </w:rPr>
        <w:footnoteRef/>
      </w:r>
      <w:r>
        <w:t xml:space="preserve"> See for example: </w:t>
      </w:r>
      <w:r w:rsidRPr="002A1751">
        <w:t>Banque de France. (2024). French Financial Inclusion Framework.</w:t>
      </w:r>
    </w:p>
  </w:footnote>
  <w:footnote w:id="55">
    <w:p w14:paraId="4151F8A8" w14:textId="76066107" w:rsidR="004A57F9" w:rsidRPr="004A57F9" w:rsidRDefault="004A57F9">
      <w:pPr>
        <w:pStyle w:val="FootnoteText"/>
        <w:rPr>
          <w:lang w:val="mi-NZ"/>
        </w:rPr>
      </w:pPr>
      <w:r>
        <w:rPr>
          <w:rStyle w:val="FootnoteReference"/>
        </w:rPr>
        <w:footnoteRef/>
      </w:r>
      <w:r>
        <w:t xml:space="preserve"> </w:t>
      </w:r>
      <w:r w:rsidR="00A6268D">
        <w:t>World Bank</w:t>
      </w:r>
      <w:r w:rsidR="001D276A">
        <w:t>. (2016)</w:t>
      </w:r>
      <w:r w:rsidR="00A6268D">
        <w:t xml:space="preserve">. Gateway to Financial Inclusion: </w:t>
      </w:r>
      <w:hyperlink r:id="rId46" w:history="1">
        <w:r w:rsidR="00A6268D" w:rsidRPr="003C1779">
          <w:rPr>
            <w:rStyle w:val="Hyperlink"/>
          </w:rPr>
          <w:t>https://www.worldbank.org/en/news/infographic/2016/10/04/gateway-to-financial-inclusion</w:t>
        </w:r>
      </w:hyperlink>
      <w:r>
        <w:t xml:space="preserve"> </w:t>
      </w:r>
    </w:p>
  </w:footnote>
  <w:footnote w:id="56">
    <w:p w14:paraId="0CF72E0B" w14:textId="6D0E1897" w:rsidR="005C3EC2" w:rsidRPr="00B114DB" w:rsidRDefault="005C3EC2">
      <w:pPr>
        <w:pStyle w:val="FootnoteText"/>
        <w:rPr>
          <w:lang w:val="mi-NZ"/>
        </w:rPr>
      </w:pPr>
      <w:r w:rsidRPr="00B114DB">
        <w:rPr>
          <w:rStyle w:val="FootnoteReference"/>
          <w:vertAlign w:val="baseline"/>
        </w:rPr>
        <w:footnoteRef/>
      </w:r>
      <w:r w:rsidRPr="00B114DB">
        <w:t xml:space="preserve"> </w:t>
      </w:r>
      <w:hyperlink r:id="rId47" w:history="1">
        <w:r w:rsidR="005E70CF" w:rsidRPr="00B114DB">
          <w:rPr>
            <w:rStyle w:val="Hyperlink"/>
            <w:color w:val="595959" w:themeColor="text1" w:themeTint="A6"/>
          </w:rPr>
          <w:t>Ibid</w:t>
        </w:r>
      </w:hyperlink>
    </w:p>
  </w:footnote>
  <w:footnote w:id="57">
    <w:p w14:paraId="105ED0BA" w14:textId="7896D56E" w:rsidR="00002103" w:rsidRPr="00B114DB" w:rsidRDefault="00002103">
      <w:pPr>
        <w:pStyle w:val="FootnoteText"/>
        <w:rPr>
          <w:lang w:val="mi-NZ"/>
        </w:rPr>
      </w:pPr>
      <w:r w:rsidRPr="00B114DB">
        <w:rPr>
          <w:rStyle w:val="FootnoteReference"/>
          <w:vertAlign w:val="baseline"/>
        </w:rPr>
        <w:footnoteRef/>
      </w:r>
      <w:r w:rsidRPr="00B114DB">
        <w:t xml:space="preserve"> </w:t>
      </w:r>
      <w:hyperlink r:id="rId48" w:history="1">
        <w:r w:rsidR="00A35DF4" w:rsidRPr="00B114DB">
          <w:rPr>
            <w:rStyle w:val="Hyperlink"/>
            <w:color w:val="595959" w:themeColor="text1" w:themeTint="A6"/>
          </w:rPr>
          <w:t>European Commission, 2011. Commission Staff Working Paper: Impact Assessment on access to a basic payment account.pdf</w:t>
        </w:r>
      </w:hyperlink>
    </w:p>
  </w:footnote>
  <w:footnote w:id="58">
    <w:p w14:paraId="304DDE97" w14:textId="5FEFED61" w:rsidR="00B10397" w:rsidRPr="00B114DB" w:rsidRDefault="00B10397">
      <w:pPr>
        <w:pStyle w:val="FootnoteText"/>
        <w:rPr>
          <w:lang w:val="mi-NZ"/>
        </w:rPr>
      </w:pPr>
      <w:r w:rsidRPr="00B114DB">
        <w:rPr>
          <w:rStyle w:val="FootnoteReference"/>
          <w:vertAlign w:val="baseline"/>
        </w:rPr>
        <w:footnoteRef/>
      </w:r>
      <w:r w:rsidRPr="00B114DB">
        <w:t xml:space="preserve"> Banque de France (2024). The French Financial Inclusion Framework.</w:t>
      </w:r>
    </w:p>
  </w:footnote>
  <w:footnote w:id="59">
    <w:p w14:paraId="5CD1C639" w14:textId="0BF7D141" w:rsidR="000A2E02" w:rsidRPr="002A1751" w:rsidRDefault="000A2E02" w:rsidP="000A2E02">
      <w:pPr>
        <w:pStyle w:val="FootnoteText"/>
        <w:rPr>
          <w:lang w:val="mi-NZ"/>
        </w:rPr>
      </w:pPr>
      <w:r w:rsidRPr="002A1751">
        <w:rPr>
          <w:rStyle w:val="FootnoteReference"/>
          <w:vertAlign w:val="baseline"/>
        </w:rPr>
        <w:footnoteRef/>
      </w:r>
      <w:r w:rsidRPr="002A1751">
        <w:t xml:space="preserve"> </w:t>
      </w:r>
      <w:hyperlink r:id="rId49" w:history="1">
        <w:r w:rsidR="00755DB0" w:rsidRPr="002A1751">
          <w:rPr>
            <w:rStyle w:val="Hyperlink"/>
            <w:color w:val="595959" w:themeColor="text1" w:themeTint="A6"/>
          </w:rPr>
          <w:t>World Bank, 2023. Payment Systems Worldwide: A Snapshot.</w:t>
        </w:r>
      </w:hyperlink>
    </w:p>
  </w:footnote>
  <w:footnote w:id="60">
    <w:p w14:paraId="4D0CEFE6" w14:textId="77777777" w:rsidR="00A21DE9" w:rsidRPr="002A1751" w:rsidRDefault="00A21DE9" w:rsidP="00A21DE9">
      <w:pPr>
        <w:pStyle w:val="FootnoteText"/>
        <w:rPr>
          <w:lang w:val="mi-NZ"/>
        </w:rPr>
      </w:pPr>
      <w:r w:rsidRPr="002A1751">
        <w:rPr>
          <w:rStyle w:val="FootnoteReference"/>
          <w:vertAlign w:val="baseline"/>
        </w:rPr>
        <w:footnoteRef/>
      </w:r>
      <w:r w:rsidRPr="002A1751">
        <w:t xml:space="preserve"> </w:t>
      </w:r>
      <w:r w:rsidRPr="002A1751">
        <w:rPr>
          <w:lang w:val="mi-NZ"/>
        </w:rPr>
        <w:t>World Bank Group.</w:t>
      </w:r>
      <w:r w:rsidRPr="002A1751">
        <w:rPr>
          <w:sz w:val="16"/>
          <w:szCs w:val="16"/>
        </w:rPr>
        <w:t xml:space="preserve"> </w:t>
      </w:r>
      <w:hyperlink r:id="rId50" w:anchor=":~:text=The%202021%20edition%2C%20based%20on,behaviors%20that%20enable%20financial%20resilience." w:history="1">
        <w:r w:rsidRPr="002A1751">
          <w:rPr>
            <w:rStyle w:val="Hyperlink"/>
            <w:color w:val="595959" w:themeColor="text1" w:themeTint="A6"/>
            <w:szCs w:val="12"/>
          </w:rPr>
          <w:t>The Global Findex Database 2021</w:t>
        </w:r>
      </w:hyperlink>
      <w:r w:rsidRPr="002A1751">
        <w:rPr>
          <w:rStyle w:val="Hyperlink"/>
          <w:color w:val="595959" w:themeColor="text1" w:themeTint="A6"/>
          <w:szCs w:val="12"/>
        </w:rPr>
        <w:t>.</w:t>
      </w:r>
    </w:p>
  </w:footnote>
  <w:footnote w:id="61">
    <w:p w14:paraId="28E0985D" w14:textId="77777777" w:rsidR="00185772" w:rsidRPr="002A1751" w:rsidRDefault="00185772" w:rsidP="000A2E02">
      <w:pPr>
        <w:pStyle w:val="FootnoteText"/>
        <w:rPr>
          <w:lang w:val="mi-NZ"/>
        </w:rPr>
      </w:pPr>
      <w:r w:rsidRPr="002A1751">
        <w:rPr>
          <w:rStyle w:val="FootnoteReference"/>
          <w:vertAlign w:val="baseline"/>
        </w:rPr>
        <w:footnoteRef/>
      </w:r>
      <w:r w:rsidRPr="002A1751">
        <w:t xml:space="preserve"> </w:t>
      </w:r>
      <w:r w:rsidRPr="002A1751">
        <w:rPr>
          <w:lang w:val="mi-NZ"/>
        </w:rPr>
        <w:t>Financial</w:t>
      </w:r>
      <w:r w:rsidRPr="002A1751">
        <w:t xml:space="preserve"> Consumer Agency of Canada (FCAC), 2024. Access to basic banking services: refusal to open a retail deposit account on the basis that it will be used for illegal or fraudulent purposes. [online] Available at:</w:t>
      </w:r>
      <w:r w:rsidRPr="002A1751">
        <w:rPr>
          <w:rFonts w:ascii="Cambria" w:hAnsi="Cambria" w:cs="Cambria"/>
        </w:rPr>
        <w:t> </w:t>
      </w:r>
      <w:hyperlink r:id="rId51" w:tgtFrame="_blank" w:history="1">
        <w:r>
          <w:rPr>
            <w:rStyle w:val="Hyperlink"/>
            <w:color w:val="595959" w:themeColor="text1" w:themeTint="A6"/>
          </w:rPr>
          <w:t>canada.ca</w:t>
        </w:r>
      </w:hyperlink>
    </w:p>
  </w:footnote>
  <w:footnote w:id="62">
    <w:p w14:paraId="4BA1854A" w14:textId="77777777" w:rsidR="00201846" w:rsidRPr="002A1751" w:rsidRDefault="00201846" w:rsidP="000A2E02">
      <w:pPr>
        <w:pStyle w:val="FootnoteText"/>
        <w:rPr>
          <w:lang w:val="mi-NZ"/>
        </w:rPr>
      </w:pPr>
      <w:r w:rsidRPr="002A1751">
        <w:rPr>
          <w:rStyle w:val="FootnoteReference"/>
          <w:vertAlign w:val="baseline"/>
        </w:rPr>
        <w:footnoteRef/>
      </w:r>
      <w:r w:rsidRPr="002A1751">
        <w:t xml:space="preserve"> </w:t>
      </w:r>
      <w:hyperlink r:id="rId52" w:anchor=":~:text=Established%20by%20Article%2058%20of,Member%20State%20of%20the%20European" w:history="1">
        <w:r w:rsidRPr="002A1751">
          <w:rPr>
            <w:rStyle w:val="Hyperlink"/>
            <w:color w:val="595959" w:themeColor="text1" w:themeTint="A6"/>
          </w:rPr>
          <w:t>France Government. (2024). Refusal to open a bank account: right to an account</w:t>
        </w:r>
      </w:hyperlink>
    </w:p>
  </w:footnote>
  <w:footnote w:id="63">
    <w:p w14:paraId="29A39A04" w14:textId="77777777" w:rsidR="00F75784" w:rsidRPr="002A1751" w:rsidRDefault="00F75784" w:rsidP="000A2E02">
      <w:pPr>
        <w:pStyle w:val="FootnoteText"/>
        <w:rPr>
          <w:lang w:val="mi-NZ"/>
        </w:rPr>
      </w:pPr>
      <w:r w:rsidRPr="002A1751">
        <w:rPr>
          <w:rStyle w:val="FootnoteReference"/>
          <w:vertAlign w:val="baseline"/>
        </w:rPr>
        <w:footnoteRef/>
      </w:r>
      <w:r w:rsidRPr="002A1751">
        <w:t xml:space="preserve"> </w:t>
      </w:r>
      <w:hyperlink r:id="rId53" w:history="1">
        <w:r w:rsidRPr="002A1751">
          <w:rPr>
            <w:rStyle w:val="Hyperlink"/>
            <w:color w:val="595959" w:themeColor="text1" w:themeTint="A6"/>
          </w:rPr>
          <w:t>HM Treasury. (2021). Basic Bank Account Report.pdf</w:t>
        </w:r>
      </w:hyperlink>
    </w:p>
  </w:footnote>
  <w:footnote w:id="64">
    <w:p w14:paraId="7FAAC10D" w14:textId="14C6C22E" w:rsidR="00CD7DAA" w:rsidRPr="002A1751" w:rsidRDefault="00CD7DAA" w:rsidP="00CD7DAA">
      <w:pPr>
        <w:pStyle w:val="FootnoteText"/>
        <w:rPr>
          <w:lang w:val="mi-NZ"/>
        </w:rPr>
      </w:pPr>
      <w:r w:rsidRPr="002A1751">
        <w:rPr>
          <w:rStyle w:val="FootnoteReference"/>
          <w:vertAlign w:val="baseline"/>
        </w:rPr>
        <w:footnoteRef/>
      </w:r>
      <w:r w:rsidRPr="002A1751">
        <w:t xml:space="preserve"> </w:t>
      </w:r>
      <w:hyperlink r:id="rId54" w:history="1">
        <w:r w:rsidR="00941DD8" w:rsidRPr="002A1751">
          <w:rPr>
            <w:rStyle w:val="Hyperlink"/>
            <w:color w:val="595959" w:themeColor="text1" w:themeTint="A6"/>
          </w:rPr>
          <w:t>Study on EU Payment Accounts Market 2021</w:t>
        </w:r>
      </w:hyperlink>
    </w:p>
  </w:footnote>
  <w:footnote w:id="65">
    <w:p w14:paraId="4FB3CF05" w14:textId="09E058C3" w:rsidR="00B10397" w:rsidRPr="002A1751" w:rsidRDefault="00B10397">
      <w:pPr>
        <w:pStyle w:val="FootnoteText"/>
        <w:rPr>
          <w:lang w:val="mi-NZ"/>
        </w:rPr>
      </w:pPr>
      <w:r w:rsidRPr="002A1751">
        <w:rPr>
          <w:rStyle w:val="FootnoteReference"/>
          <w:vertAlign w:val="baseline"/>
        </w:rPr>
        <w:footnoteRef/>
      </w:r>
      <w:r w:rsidRPr="002A1751">
        <w:t xml:space="preserve"> </w:t>
      </w:r>
      <w:hyperlink r:id="rId55" w:history="1">
        <w:r w:rsidR="003B00DD" w:rsidRPr="002A1751">
          <w:rPr>
            <w:rStyle w:val="Hyperlink"/>
            <w:color w:val="595959" w:themeColor="text1" w:themeTint="A6"/>
          </w:rPr>
          <w:t>EU Payment Accounts Directive: Commission review mainly positive but improved data collection needed - Hogan Lovells Engage</w:t>
        </w:r>
      </w:hyperlink>
    </w:p>
  </w:footnote>
  <w:footnote w:id="66">
    <w:p w14:paraId="03B10B2C" w14:textId="4EC930FE" w:rsidR="00B10397" w:rsidRPr="002A1751" w:rsidRDefault="00B10397">
      <w:pPr>
        <w:pStyle w:val="FootnoteText"/>
        <w:rPr>
          <w:lang w:val="mi-NZ"/>
        </w:rPr>
      </w:pPr>
      <w:r w:rsidRPr="002A1751">
        <w:rPr>
          <w:rStyle w:val="FootnoteReference"/>
          <w:vertAlign w:val="baseline"/>
        </w:rPr>
        <w:footnoteRef/>
      </w:r>
      <w:r w:rsidRPr="002A1751">
        <w:t xml:space="preserve"> </w:t>
      </w:r>
      <w:hyperlink r:id="rId56" w:history="1">
        <w:r w:rsidR="00497A5A" w:rsidRPr="002A1751">
          <w:rPr>
            <w:rStyle w:val="Hyperlink"/>
            <w:color w:val="595959" w:themeColor="text1" w:themeTint="A6"/>
          </w:rPr>
          <w:t>Study on EU Payment Accounts Market 2021</w:t>
        </w:r>
      </w:hyperlink>
    </w:p>
  </w:footnote>
  <w:footnote w:id="67">
    <w:p w14:paraId="5545ED8E" w14:textId="77777777" w:rsidR="002A1751" w:rsidRPr="002A1751" w:rsidRDefault="002A1751" w:rsidP="002A1751">
      <w:pPr>
        <w:pStyle w:val="FootnoteText"/>
        <w:rPr>
          <w:lang w:val="mi-NZ"/>
        </w:rPr>
      </w:pPr>
      <w:r w:rsidRPr="002A1751">
        <w:rPr>
          <w:rStyle w:val="FootnoteReference"/>
          <w:vertAlign w:val="baseline"/>
        </w:rPr>
        <w:footnoteRef/>
      </w:r>
      <w:r w:rsidRPr="002A1751">
        <w:t xml:space="preserve"> Banque de France. (2024). French Financial Inclusion Framework. </w:t>
      </w:r>
    </w:p>
  </w:footnote>
  <w:footnote w:id="68">
    <w:p w14:paraId="76B73D32" w14:textId="77777777" w:rsidR="002A1751" w:rsidRPr="002A1751" w:rsidRDefault="002A1751" w:rsidP="002A1751">
      <w:pPr>
        <w:pStyle w:val="FootnoteText"/>
        <w:rPr>
          <w:lang w:val="mi-NZ"/>
        </w:rPr>
      </w:pPr>
      <w:r w:rsidRPr="002A1751">
        <w:rPr>
          <w:rStyle w:val="FootnoteReference"/>
          <w:vertAlign w:val="baseline"/>
        </w:rPr>
        <w:footnoteRef/>
      </w:r>
      <w:r w:rsidRPr="002A1751">
        <w:t xml:space="preserve"> </w:t>
      </w:r>
      <w:r w:rsidRPr="002A1751">
        <w:rPr>
          <w:lang w:val="mi-NZ"/>
        </w:rPr>
        <w:t>Ibid</w:t>
      </w:r>
    </w:p>
  </w:footnote>
  <w:footnote w:id="69">
    <w:p w14:paraId="28E2394A" w14:textId="2D6A4475" w:rsidR="007E1C6F" w:rsidRPr="002A1751" w:rsidRDefault="007E1C6F">
      <w:pPr>
        <w:pStyle w:val="FootnoteText"/>
        <w:rPr>
          <w:lang w:val="mi-NZ"/>
        </w:rPr>
      </w:pPr>
      <w:r w:rsidRPr="002A1751">
        <w:rPr>
          <w:rStyle w:val="FootnoteReference"/>
          <w:vertAlign w:val="baseline"/>
        </w:rPr>
        <w:footnoteRef/>
      </w:r>
      <w:r w:rsidRPr="002A1751">
        <w:t xml:space="preserve"> </w:t>
      </w:r>
      <w:r w:rsidR="00FA7AFF" w:rsidRPr="002A1751">
        <w:rPr>
          <w:lang w:val="mi-NZ"/>
        </w:rPr>
        <w:t>World Bank Group.</w:t>
      </w:r>
      <w:r w:rsidR="00FA7AFF" w:rsidRPr="002A1751">
        <w:rPr>
          <w:sz w:val="16"/>
          <w:szCs w:val="16"/>
        </w:rPr>
        <w:t xml:space="preserve"> </w:t>
      </w:r>
      <w:hyperlink r:id="rId57" w:anchor=":~:text=The%202021%20edition%2C%20based%20on,behaviors%20that%20enable%20financial%20resilience." w:history="1">
        <w:r w:rsidR="00FA7AFF" w:rsidRPr="002A1751">
          <w:rPr>
            <w:rStyle w:val="Hyperlink"/>
            <w:color w:val="595959" w:themeColor="text1" w:themeTint="A6"/>
            <w:szCs w:val="12"/>
          </w:rPr>
          <w:t>The Global Findex Database 2021</w:t>
        </w:r>
      </w:hyperlink>
      <w:r w:rsidR="00FA7AFF" w:rsidRPr="002A1751">
        <w:rPr>
          <w:rStyle w:val="Hyperlink"/>
          <w:color w:val="595959" w:themeColor="text1" w:themeTint="A6"/>
          <w:szCs w:val="12"/>
        </w:rPr>
        <w:t>.</w:t>
      </w:r>
    </w:p>
  </w:footnote>
  <w:footnote w:id="70">
    <w:p w14:paraId="27A84E89" w14:textId="7B570946" w:rsidR="001175A3" w:rsidRPr="002A1751" w:rsidRDefault="001175A3" w:rsidP="0036660D">
      <w:pPr>
        <w:pStyle w:val="FootnoteText"/>
        <w:contextualSpacing/>
        <w:rPr>
          <w:lang w:val="mi-NZ"/>
        </w:rPr>
      </w:pPr>
      <w:r w:rsidRPr="002A1751">
        <w:rPr>
          <w:rStyle w:val="FootnoteReference"/>
          <w:vertAlign w:val="baseline"/>
        </w:rPr>
        <w:footnoteRef/>
      </w:r>
      <w:r w:rsidRPr="002A1751">
        <w:t xml:space="preserve"> </w:t>
      </w:r>
      <w:hyperlink r:id="rId58" w:history="1">
        <w:r w:rsidR="003A693C" w:rsidRPr="002A1751">
          <w:rPr>
            <w:rStyle w:val="Hyperlink"/>
            <w:color w:val="595959" w:themeColor="text1" w:themeTint="A6"/>
          </w:rPr>
          <w:t>HM Treasury, 2014. Agreement on basic bank accounts.pdf</w:t>
        </w:r>
      </w:hyperlink>
    </w:p>
  </w:footnote>
  <w:footnote w:id="71">
    <w:p w14:paraId="247D4B5C" w14:textId="7294ED80" w:rsidR="00871A5B" w:rsidRPr="002A1751" w:rsidRDefault="00871A5B" w:rsidP="0036660D">
      <w:pPr>
        <w:pStyle w:val="FootnoteText"/>
        <w:contextualSpacing/>
      </w:pPr>
      <w:r w:rsidRPr="002A1751">
        <w:rPr>
          <w:rStyle w:val="FootnoteReference"/>
          <w:vertAlign w:val="baseline"/>
        </w:rPr>
        <w:footnoteRef/>
      </w:r>
      <w:r w:rsidRPr="002A1751">
        <w:t xml:space="preserve"> </w:t>
      </w:r>
      <w:hyperlink r:id="rId59" w:history="1">
        <w:r w:rsidR="00E826EA" w:rsidRPr="002A1751">
          <w:rPr>
            <w:rStyle w:val="Hyperlink"/>
            <w:color w:val="595959" w:themeColor="text1" w:themeTint="A6"/>
          </w:rPr>
          <w:t>Alliance for Financial Inclusion (AFI), 2013. The Use of Financial Inclusion Data: Country Case Study of South Africa.pdf</w:t>
        </w:r>
      </w:hyperlink>
    </w:p>
  </w:footnote>
  <w:footnote w:id="72">
    <w:p w14:paraId="161A5507" w14:textId="54132288" w:rsidR="00BE19CA" w:rsidRPr="002A1751" w:rsidRDefault="00BE19CA" w:rsidP="0036660D">
      <w:pPr>
        <w:pStyle w:val="FootnoteText"/>
        <w:contextualSpacing/>
      </w:pPr>
      <w:r w:rsidRPr="002A1751">
        <w:rPr>
          <w:rStyle w:val="FootnoteReference"/>
          <w:vertAlign w:val="baseline"/>
        </w:rPr>
        <w:footnoteRef/>
      </w:r>
      <w:r w:rsidRPr="002A1751">
        <w:t xml:space="preserve"> </w:t>
      </w:r>
      <w:hyperlink r:id="rId60" w:history="1">
        <w:r w:rsidR="00F0103F" w:rsidRPr="002A1751">
          <w:rPr>
            <w:rStyle w:val="Hyperlink"/>
            <w:color w:val="595959" w:themeColor="text1" w:themeTint="A6"/>
          </w:rPr>
          <w:t xml:space="preserve">The Banking Code - Australian Banking Association </w:t>
        </w:r>
      </w:hyperlink>
    </w:p>
  </w:footnote>
  <w:footnote w:id="73">
    <w:p w14:paraId="20005574" w14:textId="0B2C3062" w:rsidR="00BE19CA" w:rsidRPr="002A1751" w:rsidRDefault="00BE19CA" w:rsidP="0036660D">
      <w:pPr>
        <w:pStyle w:val="FootnoteText"/>
        <w:contextualSpacing/>
        <w:rPr>
          <w:sz w:val="2"/>
          <w:szCs w:val="10"/>
        </w:rPr>
      </w:pPr>
    </w:p>
  </w:footnote>
  <w:footnote w:id="74">
    <w:p w14:paraId="35EB9734" w14:textId="47BB9C75" w:rsidR="0036660D" w:rsidRPr="002A1751" w:rsidRDefault="0036660D" w:rsidP="0036660D">
      <w:pPr>
        <w:pStyle w:val="FootnoteText"/>
        <w:contextualSpacing/>
      </w:pPr>
      <w:r w:rsidRPr="002A1751">
        <w:rPr>
          <w:rStyle w:val="FootnoteReference"/>
          <w:vertAlign w:val="baseline"/>
        </w:rPr>
        <w:footnoteRef/>
      </w:r>
      <w:r w:rsidRPr="002A1751">
        <w:t xml:space="preserve"> </w:t>
      </w:r>
      <w:hyperlink r:id="rId61" w:history="1">
        <w:r w:rsidR="00F0103F" w:rsidRPr="002A1751">
          <w:rPr>
            <w:rStyle w:val="Hyperlink"/>
            <w:color w:val="595959" w:themeColor="text1" w:themeTint="A6"/>
          </w:rPr>
          <w:t>Alliance for Financial Inclusion (AFI), 2013. The Use of Financial Inclusion Data: Country Case Study of South Africa</w:t>
        </w:r>
        <w:r w:rsidR="00774AF8" w:rsidRPr="002A1751">
          <w:rPr>
            <w:rStyle w:val="Hyperlink"/>
            <w:color w:val="595959" w:themeColor="text1" w:themeTint="A6"/>
          </w:rPr>
          <w:t>.</w:t>
        </w:r>
        <w:r w:rsidR="00F0103F" w:rsidRPr="002A1751">
          <w:rPr>
            <w:rStyle w:val="Hyperlink"/>
            <w:color w:val="595959" w:themeColor="text1" w:themeTint="A6"/>
          </w:rPr>
          <w:t>pdf</w:t>
        </w:r>
      </w:hyperlink>
    </w:p>
  </w:footnote>
  <w:footnote w:id="75">
    <w:p w14:paraId="2D4D11D3" w14:textId="1260D250" w:rsidR="00D12844" w:rsidRPr="002A1751" w:rsidRDefault="00D12844">
      <w:pPr>
        <w:pStyle w:val="FootnoteText"/>
        <w:rPr>
          <w:lang w:val="mi-NZ"/>
        </w:rPr>
      </w:pPr>
      <w:r w:rsidRPr="002A1751">
        <w:rPr>
          <w:rStyle w:val="FootnoteReference"/>
          <w:vertAlign w:val="baseline"/>
        </w:rPr>
        <w:footnoteRef/>
      </w:r>
      <w:r w:rsidRPr="002A1751">
        <w:t xml:space="preserve"> </w:t>
      </w:r>
      <w:r w:rsidR="00B42250" w:rsidRPr="002A1751">
        <w:t xml:space="preserve">See for example, </w:t>
      </w:r>
      <w:hyperlink r:id="rId62" w:history="1">
        <w:r w:rsidR="002E2370" w:rsidRPr="002A1751">
          <w:rPr>
            <w:rStyle w:val="Hyperlink"/>
            <w:color w:val="595959" w:themeColor="text1" w:themeTint="A6"/>
          </w:rPr>
          <w:t>HM Treasury. (2016). Basic bank accounts: January to June 2016</w:t>
        </w:r>
      </w:hyperlink>
      <w:r w:rsidR="00B42250" w:rsidRPr="002A1751">
        <w:t xml:space="preserve"> and </w:t>
      </w:r>
      <w:hyperlink r:id="rId63" w:history="1">
        <w:r w:rsidR="000234A3" w:rsidRPr="002A1751">
          <w:rPr>
            <w:rStyle w:val="Hyperlink"/>
            <w:color w:val="595959" w:themeColor="text1" w:themeTint="A6"/>
          </w:rPr>
          <w:t>Australian Securities and Investments Commission (ASIC), 2024. Better banking for Indigenous consumers.</w:t>
        </w:r>
      </w:hyperlink>
    </w:p>
  </w:footnote>
  <w:footnote w:id="76">
    <w:p w14:paraId="565F7194" w14:textId="69EA627B" w:rsidR="00F023E1" w:rsidRPr="002A1751" w:rsidRDefault="00F023E1">
      <w:pPr>
        <w:pStyle w:val="FootnoteText"/>
        <w:rPr>
          <w:lang w:val="mi-NZ"/>
        </w:rPr>
      </w:pPr>
      <w:r w:rsidRPr="002A1751">
        <w:rPr>
          <w:rStyle w:val="FootnoteReference"/>
          <w:vertAlign w:val="baseline"/>
        </w:rPr>
        <w:footnoteRef/>
      </w:r>
      <w:r w:rsidRPr="002A1751">
        <w:t xml:space="preserve"> </w:t>
      </w:r>
      <w:r w:rsidR="00F0103F" w:rsidRPr="002A1751">
        <w:rPr>
          <w:lang w:val="mi-NZ"/>
        </w:rPr>
        <w:t>Ibid</w:t>
      </w:r>
    </w:p>
  </w:footnote>
  <w:footnote w:id="77">
    <w:p w14:paraId="0D54A0C5" w14:textId="77777777" w:rsidR="002A1751" w:rsidRPr="002A1751" w:rsidRDefault="002A1751" w:rsidP="002A1751">
      <w:pPr>
        <w:pStyle w:val="FootnoteText"/>
      </w:pPr>
      <w:r w:rsidRPr="002A1751">
        <w:rPr>
          <w:rStyle w:val="FootnoteReference"/>
          <w:vertAlign w:val="baseline"/>
        </w:rPr>
        <w:footnoteRef/>
      </w:r>
      <w:r w:rsidRPr="002A1751">
        <w:t xml:space="preserve"> </w:t>
      </w:r>
      <w:hyperlink r:id="rId64" w:history="1">
        <w:r w:rsidRPr="002A1751">
          <w:rPr>
            <w:rStyle w:val="Hyperlink"/>
            <w:color w:val="595959" w:themeColor="text1" w:themeTint="A6"/>
          </w:rPr>
          <w:t>Ibid</w:t>
        </w:r>
      </w:hyperlink>
    </w:p>
  </w:footnote>
  <w:footnote w:id="78">
    <w:p w14:paraId="02A85FA4" w14:textId="77777777" w:rsidR="002A1751" w:rsidRPr="002A1751" w:rsidRDefault="002A1751" w:rsidP="002A1751">
      <w:pPr>
        <w:pStyle w:val="FootnoteText"/>
        <w:rPr>
          <w:lang w:val="mi-NZ"/>
        </w:rPr>
      </w:pPr>
      <w:r w:rsidRPr="002A1751">
        <w:rPr>
          <w:rStyle w:val="FootnoteReference"/>
          <w:vertAlign w:val="baseline"/>
        </w:rPr>
        <w:footnoteRef/>
      </w:r>
      <w:r w:rsidRPr="002A1751">
        <w:t xml:space="preserve"> </w:t>
      </w:r>
      <w:r w:rsidRPr="002A1751">
        <w:rPr>
          <w:lang w:val="mi-NZ"/>
        </w:rPr>
        <w:t xml:space="preserve">To demonstrate that customers are recieving government concession payments. </w:t>
      </w:r>
    </w:p>
  </w:footnote>
  <w:footnote w:id="79">
    <w:p w14:paraId="1069C14A" w14:textId="2D847134" w:rsidR="002A1751" w:rsidRPr="002A1751" w:rsidRDefault="002A1751" w:rsidP="002A1751">
      <w:pPr>
        <w:pStyle w:val="FootnoteText"/>
      </w:pPr>
      <w:r w:rsidRPr="002A1751">
        <w:rPr>
          <w:rStyle w:val="FootnoteReference"/>
          <w:vertAlign w:val="baseline"/>
        </w:rPr>
        <w:footnoteRef/>
      </w:r>
      <w:r w:rsidRPr="002A1751">
        <w:t xml:space="preserve"> </w:t>
      </w:r>
      <w:r>
        <w:tab/>
      </w:r>
      <w:r w:rsidRPr="002A1751">
        <w:t>ASIC approves enhanced Banking Code of Practice.</w:t>
      </w:r>
      <w:r w:rsidRPr="002A1751">
        <w:rPr>
          <w:rStyle w:val="Hyperlink"/>
          <w:color w:val="595959" w:themeColor="text1" w:themeTint="A6"/>
          <w:u w:val="none"/>
        </w:rPr>
        <w:t xml:space="preserve"> Available at </w:t>
      </w:r>
      <w:hyperlink r:id="rId65" w:history="1">
        <w:r w:rsidRPr="002A1751">
          <w:rPr>
            <w:rStyle w:val="Hyperlink"/>
            <w:color w:val="595959" w:themeColor="text1" w:themeTint="A6"/>
          </w:rPr>
          <w:t>www.asic.gov.au</w:t>
        </w:r>
      </w:hyperlink>
      <w:r w:rsidRPr="002A1751">
        <w:rPr>
          <w:rStyle w:val="Hyperlink"/>
          <w:color w:val="595959" w:themeColor="text1" w:themeTint="A6"/>
          <w:u w:val="none"/>
        </w:rPr>
        <w:t xml:space="preserve">    </w:t>
      </w:r>
    </w:p>
  </w:footnote>
  <w:footnote w:id="80">
    <w:p w14:paraId="4428FBE4" w14:textId="77777777" w:rsidR="002A1751" w:rsidRPr="002A1751" w:rsidRDefault="002A1751" w:rsidP="002A1751">
      <w:pPr>
        <w:pStyle w:val="FootnoteText"/>
      </w:pPr>
      <w:r w:rsidRPr="002A1751">
        <w:rPr>
          <w:rStyle w:val="FootnoteReference"/>
          <w:vertAlign w:val="baseline"/>
        </w:rPr>
        <w:footnoteRef/>
      </w:r>
      <w:r w:rsidRPr="002A1751">
        <w:t xml:space="preserve"> </w:t>
      </w:r>
      <w:hyperlink r:id="rId66" w:history="1">
        <w:r w:rsidRPr="002A1751">
          <w:rPr>
            <w:rStyle w:val="Hyperlink"/>
            <w:color w:val="595959" w:themeColor="text1" w:themeTint="A6"/>
          </w:rPr>
          <w:t>ASIC approves ABA’s revised Banking Code: What you need to know | Global law firm | Norton Rose Fulbright</w:t>
        </w:r>
      </w:hyperlink>
    </w:p>
  </w:footnote>
  <w:footnote w:id="81">
    <w:p w14:paraId="3BD2379F" w14:textId="3E2A3F03" w:rsidR="009A7BEC" w:rsidRPr="00051F65" w:rsidRDefault="009A7BEC" w:rsidP="009A7BEC">
      <w:pPr>
        <w:pStyle w:val="FootnoteText"/>
        <w:rPr>
          <w:lang w:val="mi-NZ"/>
        </w:rPr>
      </w:pPr>
      <w:r w:rsidRPr="00051F65">
        <w:rPr>
          <w:rStyle w:val="FootnoteReference"/>
          <w:vertAlign w:val="baseline"/>
        </w:rPr>
        <w:footnoteRef/>
      </w:r>
      <w:r w:rsidRPr="00051F65">
        <w:t xml:space="preserve"> </w:t>
      </w:r>
      <w:r w:rsidRPr="00051F65">
        <w:rPr>
          <w:rFonts w:ascii="Cambria" w:hAnsi="Cambria" w:cs="Cambria"/>
        </w:rPr>
        <w:t> </w:t>
      </w:r>
      <w:r w:rsidR="00E043FF" w:rsidRPr="00051F65">
        <w:t xml:space="preserve">Alliance for Financial Inclusion (AFI), 2019. KYC Innovations, Financial Inclusion and Integrity </w:t>
      </w:r>
      <w:r w:rsidR="00C037F8" w:rsidRPr="00051F65">
        <w:t>in</w:t>
      </w:r>
      <w:r w:rsidR="00E043FF" w:rsidRPr="00051F65">
        <w:t xml:space="preserve"> Selected AFI Member Countries. Available at:</w:t>
      </w:r>
      <w:r w:rsidR="00E043FF" w:rsidRPr="00051F65">
        <w:rPr>
          <w:rFonts w:ascii="Cambria" w:hAnsi="Cambria" w:cs="Cambria"/>
        </w:rPr>
        <w:t> </w:t>
      </w:r>
      <w:hyperlink r:id="rId67" w:tgtFrame="_blank" w:history="1">
        <w:r w:rsidR="00D73B3C">
          <w:rPr>
            <w:rStyle w:val="Hyperlink"/>
            <w:color w:val="595959" w:themeColor="text1" w:themeTint="A6"/>
          </w:rPr>
          <w:t>afi-global.org/sites/default/files/publications/2019-03/KYC-Innovations-Financial-Inclusion-Integrity-Selected-AFI-Member-Countries.pdf</w:t>
        </w:r>
      </w:hyperlink>
    </w:p>
  </w:footnote>
  <w:footnote w:id="82">
    <w:p w14:paraId="6B127921" w14:textId="166A444D" w:rsidR="001B12F8" w:rsidRDefault="001B12F8">
      <w:pPr>
        <w:pStyle w:val="FootnoteText"/>
      </w:pPr>
      <w:r>
        <w:rPr>
          <w:rStyle w:val="FootnoteReference"/>
        </w:rPr>
        <w:footnoteRef/>
      </w:r>
      <w:r>
        <w:t xml:space="preserve"> </w:t>
      </w:r>
      <w:hyperlink r:id="rId68" w:history="1">
        <w:r w:rsidR="001D0E94">
          <w:rPr>
            <w:rStyle w:val="Hyperlink"/>
          </w:rPr>
          <w:t>Digital Financial Services Regulation: Current State of Practice Report 2022</w:t>
        </w:r>
      </w:hyperlink>
    </w:p>
  </w:footnote>
  <w:footnote w:id="83">
    <w:p w14:paraId="0AACB185" w14:textId="77777777" w:rsidR="009A7BEC" w:rsidRPr="00051F65" w:rsidRDefault="009A7BEC" w:rsidP="009A7BEC">
      <w:pPr>
        <w:pStyle w:val="FootnoteText"/>
        <w:rPr>
          <w:lang w:val="mi-NZ"/>
        </w:rPr>
      </w:pPr>
      <w:r w:rsidRPr="00051F65">
        <w:rPr>
          <w:rStyle w:val="FootnoteReference"/>
          <w:vertAlign w:val="baseline"/>
        </w:rPr>
        <w:footnoteRef/>
      </w:r>
      <w:r w:rsidRPr="00051F65">
        <w:t xml:space="preserve"> Analysis of publicly available mutual evaluation reports (MERS) and follow-up reports of the relevant regulatory frameworks in Mexico, India and Peru, three countries with long-standing tiered KYC practices, found no remedial actions were required by the jurisdiction regarding compliance of the lower KYC tier for accounts with FATF recommendations 5 and 10. For more information, see: </w:t>
      </w:r>
      <w:hyperlink r:id="rId69" w:history="1">
        <w:r w:rsidRPr="00051F65">
          <w:rPr>
            <w:rStyle w:val="Hyperlink"/>
            <w:color w:val="595959" w:themeColor="text1" w:themeTint="A6"/>
          </w:rPr>
          <w:t>Emergency Disbursements during COVID-19_20200718.pdf (findevgateway.org)</w:t>
        </w:r>
      </w:hyperlink>
    </w:p>
  </w:footnote>
  <w:footnote w:id="84">
    <w:p w14:paraId="1F222AC4" w14:textId="77777777" w:rsidR="009A7BEC" w:rsidRPr="00051F65" w:rsidRDefault="009A7BEC" w:rsidP="009A7BEC">
      <w:pPr>
        <w:pStyle w:val="FootnoteText"/>
        <w:rPr>
          <w:lang w:val="mi-NZ"/>
        </w:rPr>
      </w:pPr>
      <w:r w:rsidRPr="00051F65">
        <w:rPr>
          <w:rStyle w:val="FootnoteReference"/>
          <w:vertAlign w:val="baseline"/>
        </w:rPr>
        <w:footnoteRef/>
      </w:r>
      <w:r w:rsidRPr="00051F65">
        <w:t xml:space="preserve"> </w:t>
      </w:r>
      <w:hyperlink r:id="rId70" w:tgtFrame="_blank" w:history="1">
        <w:r w:rsidRPr="00051F65">
          <w:rPr>
            <w:rStyle w:val="Hyperlink"/>
            <w:color w:val="595959" w:themeColor="text1" w:themeTint="A6"/>
          </w:rPr>
          <w:t>Research Note international perspectives on de-risking (fca.org.uk)</w:t>
        </w:r>
      </w:hyperlink>
    </w:p>
  </w:footnote>
  <w:footnote w:id="85">
    <w:p w14:paraId="3A957374" w14:textId="368FE6B3" w:rsidR="0077530B" w:rsidRDefault="0077530B">
      <w:pPr>
        <w:pStyle w:val="FootnoteText"/>
      </w:pPr>
      <w:r>
        <w:rPr>
          <w:rStyle w:val="FootnoteReference"/>
        </w:rPr>
        <w:footnoteRef/>
      </w:r>
      <w:r>
        <w:t xml:space="preserve"> </w:t>
      </w:r>
      <w:hyperlink r:id="rId71" w:history="1">
        <w:r w:rsidRPr="0077530B">
          <w:rPr>
            <w:rStyle w:val="Hyperlink"/>
          </w:rPr>
          <w:t>Public Consultation on AML/CFT and Financial Inclusion - Updated FATF Guidance on AML/CFT Measures and Financial Inclusion</w:t>
        </w:r>
      </w:hyperlink>
    </w:p>
  </w:footnote>
  <w:footnote w:id="86">
    <w:p w14:paraId="3F7FD8C7" w14:textId="77777777" w:rsidR="009A7BEC" w:rsidRPr="00051F65" w:rsidRDefault="009A7BEC" w:rsidP="009A7BEC">
      <w:pPr>
        <w:pStyle w:val="FootnoteText"/>
        <w:rPr>
          <w:lang w:val="mi-NZ"/>
        </w:rPr>
      </w:pPr>
      <w:r w:rsidRPr="00051F65">
        <w:rPr>
          <w:rStyle w:val="FootnoteReference"/>
          <w:vertAlign w:val="baseline"/>
        </w:rPr>
        <w:footnoteRef/>
      </w:r>
      <w:r w:rsidRPr="00051F65">
        <w:t xml:space="preserve"> </w:t>
      </w:r>
      <w:hyperlink r:id="rId72" w:tgtFrame="_blank" w:history="1">
        <w:r w:rsidRPr="00051F65">
          <w:rPr>
            <w:rStyle w:val="Hyperlink"/>
            <w:color w:val="595959" w:themeColor="text1" w:themeTint="A6"/>
          </w:rPr>
          <w:t>Action 1 | Digital Finance Inclusion (worldbank.org)</w:t>
        </w:r>
      </w:hyperlink>
    </w:p>
  </w:footnote>
  <w:footnote w:id="87">
    <w:p w14:paraId="5D49FC17" w14:textId="6D4F2CCA" w:rsidR="00B525D5" w:rsidRPr="00FB2AD0" w:rsidRDefault="00B525D5" w:rsidP="00B525D5">
      <w:pPr>
        <w:pStyle w:val="FootnoteText"/>
        <w:rPr>
          <w:lang w:val="mi-NZ"/>
        </w:rPr>
      </w:pPr>
      <w:r w:rsidRPr="00FB2AD0">
        <w:rPr>
          <w:rStyle w:val="FootnoteReference"/>
          <w:vertAlign w:val="baseline"/>
        </w:rPr>
        <w:footnoteRef/>
      </w:r>
      <w:r w:rsidRPr="00FB2AD0">
        <w:t xml:space="preserve"> </w:t>
      </w:r>
      <w:r w:rsidR="00F328DD" w:rsidRPr="00FB2AD0">
        <w:rPr>
          <w:lang w:val="mi-NZ"/>
        </w:rPr>
        <w:t>World Bank Group.</w:t>
      </w:r>
      <w:r w:rsidR="00F328DD" w:rsidRPr="00FB2AD0">
        <w:rPr>
          <w:sz w:val="16"/>
          <w:szCs w:val="16"/>
        </w:rPr>
        <w:t xml:space="preserve"> </w:t>
      </w:r>
      <w:hyperlink r:id="rId73" w:anchor=":~:text=The%202021%20edition%2C%20based%20on,behaviors%20that%20enable%20financial%20resilience." w:history="1">
        <w:r w:rsidR="00F328DD" w:rsidRPr="00FB2AD0">
          <w:rPr>
            <w:rStyle w:val="Hyperlink"/>
            <w:color w:val="595959" w:themeColor="text1" w:themeTint="A6"/>
            <w:szCs w:val="12"/>
          </w:rPr>
          <w:t>The Global Findex Database 2021</w:t>
        </w:r>
      </w:hyperlink>
      <w:r w:rsidR="00F328DD" w:rsidRPr="00FB2AD0">
        <w:rPr>
          <w:rStyle w:val="Hyperlink"/>
          <w:color w:val="595959" w:themeColor="text1" w:themeTint="A6"/>
          <w:szCs w:val="12"/>
        </w:rPr>
        <w:t>.</w:t>
      </w:r>
    </w:p>
  </w:footnote>
  <w:footnote w:id="88">
    <w:p w14:paraId="432C53C1" w14:textId="0E15F64E" w:rsidR="00CD7DAA" w:rsidRPr="00FB2AD0" w:rsidRDefault="00CD7DAA">
      <w:pPr>
        <w:pStyle w:val="FootnoteText"/>
        <w:rPr>
          <w:lang w:val="mi-NZ"/>
        </w:rPr>
      </w:pPr>
      <w:r w:rsidRPr="00FB2AD0">
        <w:rPr>
          <w:rStyle w:val="FootnoteReference"/>
          <w:vertAlign w:val="baseline"/>
        </w:rPr>
        <w:footnoteRef/>
      </w:r>
      <w:r w:rsidRPr="00FB2AD0">
        <w:t xml:space="preserve"> </w:t>
      </w:r>
      <w:hyperlink r:id="rId74" w:history="1">
        <w:r w:rsidR="00F9290D">
          <w:rPr>
            <w:rStyle w:val="Hyperlink"/>
          </w:rPr>
          <w:t>Access to Financial Services in Nigeria 2023 Survey Report</w:t>
        </w:r>
      </w:hyperlink>
    </w:p>
  </w:footnote>
  <w:footnote w:id="89">
    <w:p w14:paraId="123D4C93" w14:textId="7BD765F6" w:rsidR="00CD7DAA" w:rsidRPr="00FB2AD0" w:rsidRDefault="00CD7DAA">
      <w:pPr>
        <w:pStyle w:val="FootnoteText"/>
        <w:rPr>
          <w:lang w:val="mi-NZ"/>
        </w:rPr>
      </w:pPr>
      <w:r w:rsidRPr="00FB2AD0">
        <w:rPr>
          <w:rStyle w:val="FootnoteReference"/>
          <w:vertAlign w:val="baseline"/>
        </w:rPr>
        <w:footnoteRef/>
      </w:r>
      <w:r w:rsidRPr="00FB2AD0">
        <w:t xml:space="preserve"> </w:t>
      </w:r>
      <w:hyperlink r:id="rId75" w:history="1">
        <w:r w:rsidRPr="00FB2AD0">
          <w:rPr>
            <w:rStyle w:val="Hyperlink"/>
            <w:color w:val="595959" w:themeColor="text1" w:themeTint="A6"/>
          </w:rPr>
          <w:t>Financial Inclusion Rates Rose to 70.7% by the End of 2023</w:t>
        </w:r>
      </w:hyperlink>
    </w:p>
  </w:footnote>
  <w:footnote w:id="90">
    <w:p w14:paraId="41FE5DB4" w14:textId="77777777" w:rsidR="00B25352" w:rsidRPr="00FB2AD0" w:rsidRDefault="00B25352" w:rsidP="00B25352">
      <w:pPr>
        <w:pStyle w:val="FootnoteText"/>
        <w:rPr>
          <w:lang w:val="mi-NZ"/>
        </w:rPr>
      </w:pPr>
      <w:r w:rsidRPr="00FB2AD0">
        <w:rPr>
          <w:rStyle w:val="FootnoteReference"/>
          <w:vertAlign w:val="baseline"/>
        </w:rPr>
        <w:footnoteRef/>
      </w:r>
      <w:r w:rsidRPr="00FB2AD0">
        <w:t xml:space="preserve"> </w:t>
      </w:r>
      <w:hyperlink r:id="rId76" w:anchor=":~:text=Enhanced%20operational%20efficiency%3A%20A%20tiered,customers%20who%20need%20closer%20scrutiny." w:tgtFrame="_blank" w:history="1">
        <w:r w:rsidRPr="00FB2AD0">
          <w:rPr>
            <w:rStyle w:val="Hyperlink"/>
            <w:color w:val="595959" w:themeColor="text1" w:themeTint="A6"/>
          </w:rPr>
          <w:t>Tiered KYC for Customer Onboarding |</w:t>
        </w:r>
        <w:r w:rsidRPr="00FB2AD0">
          <w:rPr>
            <w:rStyle w:val="Hyperlink"/>
            <w:rFonts w:ascii="Cambria" w:hAnsi="Cambria" w:cs="Cambria"/>
            <w:color w:val="595959" w:themeColor="text1" w:themeTint="A6"/>
          </w:rPr>
          <w:t> </w:t>
        </w:r>
        <w:r w:rsidRPr="00FB2AD0">
          <w:rPr>
            <w:rStyle w:val="Hyperlink"/>
            <w:color w:val="595959" w:themeColor="text1" w:themeTint="A6"/>
          </w:rPr>
          <w:t>AiPrise</w:t>
        </w:r>
      </w:hyperlink>
    </w:p>
  </w:footnote>
  <w:footnote w:id="91">
    <w:p w14:paraId="34D1F1F1" w14:textId="77777777" w:rsidR="00051F65" w:rsidRPr="00051F65" w:rsidRDefault="00051F65" w:rsidP="00051F65">
      <w:pPr>
        <w:pStyle w:val="FootnoteText"/>
        <w:rPr>
          <w:lang w:val="mi-NZ"/>
        </w:rPr>
      </w:pPr>
      <w:r w:rsidRPr="00051F65">
        <w:rPr>
          <w:rStyle w:val="FootnoteReference"/>
          <w:vertAlign w:val="baseline"/>
        </w:rPr>
        <w:footnoteRef/>
      </w:r>
      <w:r w:rsidRPr="00051F65">
        <w:t xml:space="preserve"> </w:t>
      </w:r>
      <w:hyperlink r:id="rId77" w:history="1">
        <w:r w:rsidRPr="00051F65">
          <w:rPr>
            <w:rStyle w:val="Hyperlink"/>
            <w:color w:val="595959" w:themeColor="text1" w:themeTint="A6"/>
          </w:rPr>
          <w:t>A Bold Move Toward Simplifying AML/CFT: Lessons from Mexico | Blog | CGAP</w:t>
        </w:r>
      </w:hyperlink>
    </w:p>
  </w:footnote>
  <w:footnote w:id="92">
    <w:p w14:paraId="753B776D" w14:textId="77777777" w:rsidR="00051F65" w:rsidRPr="00051F65" w:rsidRDefault="00051F65" w:rsidP="00051F65">
      <w:pPr>
        <w:pStyle w:val="FootnoteText"/>
      </w:pPr>
      <w:r w:rsidRPr="00051F65">
        <w:rPr>
          <w:rStyle w:val="FootnoteReference"/>
          <w:vertAlign w:val="baseline"/>
        </w:rPr>
        <w:footnoteRef/>
      </w:r>
      <w:r w:rsidRPr="00051F65">
        <w:t xml:space="preserve"> </w:t>
      </w:r>
      <w:hyperlink r:id="rId78" w:history="1">
        <w:r w:rsidRPr="00051F65">
          <w:rPr>
            <w:rStyle w:val="Hyperlink"/>
            <w:color w:val="595959" w:themeColor="text1" w:themeTint="A6"/>
          </w:rPr>
          <w:t>Mexico’s Tiered KYC: An Update on Market Response | Blog | CGAP</w:t>
        </w:r>
      </w:hyperlink>
    </w:p>
  </w:footnote>
  <w:footnote w:id="93">
    <w:p w14:paraId="516D84D4" w14:textId="2CEE456B" w:rsidR="00C55C55" w:rsidRPr="00051F65" w:rsidRDefault="00C55C55" w:rsidP="00C55C55">
      <w:pPr>
        <w:pStyle w:val="FootnoteText"/>
      </w:pPr>
      <w:r w:rsidRPr="00051F65">
        <w:rPr>
          <w:rStyle w:val="FootnoteReference"/>
          <w:vertAlign w:val="baseline"/>
        </w:rPr>
        <w:footnoteRef/>
      </w:r>
      <w:r w:rsidRPr="00051F65">
        <w:t xml:space="preserve"> </w:t>
      </w:r>
      <w:hyperlink r:id="rId79" w:history="1">
        <w:r w:rsidR="00A605C3" w:rsidRPr="00051F65">
          <w:rPr>
            <w:rStyle w:val="Hyperlink"/>
            <w:color w:val="595959" w:themeColor="text1" w:themeTint="A6"/>
          </w:rPr>
          <w:t>World Bank. (2021). A Snapshot Payment Systems Worldwide - Summary Outcomes of the Sixth Global Payment Systems Survey</w:t>
        </w:r>
      </w:hyperlink>
    </w:p>
  </w:footnote>
  <w:footnote w:id="94">
    <w:p w14:paraId="718D97F2" w14:textId="77777777" w:rsidR="00C55C55" w:rsidRPr="00051F65" w:rsidRDefault="00C55C55" w:rsidP="00C55C55">
      <w:pPr>
        <w:pStyle w:val="FootnoteText"/>
      </w:pPr>
      <w:r w:rsidRPr="00051F65">
        <w:rPr>
          <w:rStyle w:val="FootnoteReference"/>
          <w:vertAlign w:val="baseline"/>
        </w:rPr>
        <w:footnoteRef/>
      </w:r>
      <w:r w:rsidRPr="00051F65">
        <w:t xml:space="preserve"> </w:t>
      </w:r>
      <w:hyperlink r:id="rId80" w:history="1">
        <w:r w:rsidRPr="00051F65">
          <w:rPr>
            <w:rStyle w:val="Hyperlink"/>
            <w:color w:val="595959" w:themeColor="text1" w:themeTint="A6"/>
          </w:rPr>
          <w:t>Basic bank accounts: January to June 2016 (publishing.service.gov.uk)</w:t>
        </w:r>
      </w:hyperlink>
    </w:p>
  </w:footnote>
  <w:footnote w:id="95">
    <w:p w14:paraId="600B246F" w14:textId="77777777" w:rsidR="00C55C55" w:rsidRPr="00051F65" w:rsidRDefault="00C55C55" w:rsidP="00C55C55">
      <w:pPr>
        <w:pStyle w:val="FootnoteText"/>
      </w:pPr>
      <w:r w:rsidRPr="00051F65">
        <w:rPr>
          <w:rStyle w:val="FootnoteReference"/>
          <w:vertAlign w:val="baseline"/>
        </w:rPr>
        <w:footnoteRef/>
      </w:r>
      <w:r w:rsidRPr="00051F65">
        <w:t xml:space="preserve"> </w:t>
      </w:r>
      <w:hyperlink r:id="rId81" w:history="1">
        <w:r w:rsidRPr="00051F65">
          <w:rPr>
            <w:rStyle w:val="Hyperlink"/>
            <w:color w:val="595959" w:themeColor="text1" w:themeTint="A6"/>
          </w:rPr>
          <w:t>UK Payment Accounts: access and closures (fca.org.uk)</w:t>
        </w:r>
      </w:hyperlink>
    </w:p>
  </w:footnote>
  <w:footnote w:id="96">
    <w:p w14:paraId="4E24C0F1" w14:textId="408CE0DB" w:rsidR="00704AF3" w:rsidRPr="00051F65" w:rsidRDefault="00704AF3">
      <w:pPr>
        <w:pStyle w:val="FootnoteText"/>
        <w:rPr>
          <w:lang w:val="mi-NZ"/>
        </w:rPr>
      </w:pPr>
      <w:r w:rsidRPr="00051F65">
        <w:rPr>
          <w:rStyle w:val="FootnoteReference"/>
          <w:vertAlign w:val="baseline"/>
        </w:rPr>
        <w:footnoteRef/>
      </w:r>
      <w:r w:rsidRPr="00051F65">
        <w:t xml:space="preserve"> </w:t>
      </w:r>
      <w:hyperlink r:id="rId82" w:history="1">
        <w:r w:rsidRPr="00051F65">
          <w:rPr>
            <w:rStyle w:val="Hyperlink"/>
            <w:color w:val="595959" w:themeColor="text1" w:themeTint="A6"/>
          </w:rPr>
          <w:t>Anti-money laundering and terrorist financing measures and financial inclusion (fatf-gafi.org)</w:t>
        </w:r>
      </w:hyperlink>
    </w:p>
  </w:footnote>
  <w:footnote w:id="97">
    <w:p w14:paraId="4F64556E" w14:textId="1AEE8747" w:rsidR="00C05A39" w:rsidRPr="00051F65" w:rsidRDefault="00C05A39" w:rsidP="00C05A39">
      <w:pPr>
        <w:pStyle w:val="FootnoteText"/>
        <w:rPr>
          <w:lang w:val="mi-NZ"/>
        </w:rPr>
      </w:pPr>
      <w:r w:rsidRPr="00051F65">
        <w:rPr>
          <w:rStyle w:val="FootnoteReference"/>
          <w:vertAlign w:val="baseline"/>
        </w:rPr>
        <w:footnoteRef/>
      </w:r>
      <w:r w:rsidRPr="00051F65">
        <w:t xml:space="preserve"> </w:t>
      </w:r>
      <w:hyperlink r:id="rId83" w:history="1">
        <w:r w:rsidR="00A605C3" w:rsidRPr="00051F65">
          <w:rPr>
            <w:rStyle w:val="Hyperlink"/>
            <w:color w:val="595959" w:themeColor="text1" w:themeTint="A6"/>
          </w:rPr>
          <w:t>Ibid</w:t>
        </w:r>
      </w:hyperlink>
    </w:p>
  </w:footnote>
  <w:footnote w:id="98">
    <w:p w14:paraId="49F634FE" w14:textId="6ACB7FBB" w:rsidR="00441110" w:rsidRPr="00441110" w:rsidRDefault="00441110">
      <w:pPr>
        <w:pStyle w:val="FootnoteText"/>
        <w:rPr>
          <w:lang w:val="mi-NZ"/>
        </w:rPr>
      </w:pPr>
      <w:r>
        <w:rPr>
          <w:rStyle w:val="FootnoteReference"/>
        </w:rPr>
        <w:footnoteRef/>
      </w:r>
      <w:r>
        <w:t xml:space="preserve"> </w:t>
      </w:r>
      <w:hyperlink r:id="rId84" w:history="1">
        <w:r w:rsidRPr="00441110">
          <w:rPr>
            <w:rStyle w:val="Hyperlink"/>
          </w:rPr>
          <w:t>Regulatory Charter: Financial markets regulatory system</w:t>
        </w:r>
      </w:hyperlink>
    </w:p>
  </w:footnote>
  <w:footnote w:id="99">
    <w:p w14:paraId="50078730" w14:textId="77777777" w:rsidR="00441110" w:rsidRPr="00B114DB" w:rsidRDefault="00441110" w:rsidP="00441110">
      <w:pPr>
        <w:pStyle w:val="FootnoteText"/>
        <w:rPr>
          <w:lang w:val="mi-NZ"/>
        </w:rPr>
      </w:pPr>
      <w:r w:rsidRPr="00B114DB">
        <w:rPr>
          <w:rStyle w:val="FootnoteReference"/>
          <w:vertAlign w:val="baseline"/>
        </w:rPr>
        <w:footnoteRef/>
      </w:r>
      <w:r w:rsidRPr="00B114DB">
        <w:t xml:space="preserve"> </w:t>
      </w:r>
      <w:r>
        <w:tab/>
      </w:r>
      <w:r w:rsidRPr="00B114DB">
        <w:rPr>
          <w:lang w:val="mi-NZ"/>
        </w:rPr>
        <w:t xml:space="preserve"> </w:t>
      </w:r>
      <w:hyperlink r:id="rId85" w:history="1">
        <w:r w:rsidRPr="007C33B4">
          <w:rPr>
            <w:rStyle w:val="Hyperlink"/>
          </w:rPr>
          <w:t>First steps to financial inclusion - Opportunities to promote inclusive customer onboarding - Reserve Bank of New Zealand - Te Pūtea Matua</w:t>
        </w:r>
      </w:hyperlink>
    </w:p>
  </w:footnote>
  <w:footnote w:id="100">
    <w:p w14:paraId="6E11722F" w14:textId="6C7D244D" w:rsidR="000A2E02" w:rsidRPr="00FB2AD0" w:rsidRDefault="000A2E02" w:rsidP="000A2E02">
      <w:pPr>
        <w:pStyle w:val="FootnoteText"/>
        <w:rPr>
          <w:lang w:val="mi-NZ"/>
        </w:rPr>
      </w:pPr>
      <w:r w:rsidRPr="00FB2AD0">
        <w:rPr>
          <w:rStyle w:val="FootnoteReference"/>
          <w:vertAlign w:val="baseline"/>
        </w:rPr>
        <w:footnoteRef/>
      </w:r>
      <w:r w:rsidRPr="00FB2AD0">
        <w:t xml:space="preserve"> </w:t>
      </w:r>
      <w:hyperlink r:id="rId86" w:history="1">
        <w:r w:rsidR="00373E13" w:rsidRPr="00FB2AD0">
          <w:rPr>
            <w:rStyle w:val="Hyperlink"/>
            <w:color w:val="595959" w:themeColor="text1" w:themeTint="A6"/>
          </w:rPr>
          <w:t>World Bank. (2021). A Snapshot Payment Systems Worldwide - Summary Outcomes of the Sixth Global Payment Systems Survey</w:t>
        </w:r>
      </w:hyperlink>
    </w:p>
  </w:footnote>
  <w:footnote w:id="101">
    <w:p w14:paraId="64E84D02" w14:textId="2B3C1B33" w:rsidR="0045516C" w:rsidRPr="00517456" w:rsidRDefault="0045516C" w:rsidP="0045516C">
      <w:pPr>
        <w:pStyle w:val="FootnoteText"/>
      </w:pPr>
      <w:r w:rsidRPr="00517456">
        <w:rPr>
          <w:rStyle w:val="FootnoteReference"/>
          <w:vertAlign w:val="baseline"/>
        </w:rPr>
        <w:footnoteRef/>
      </w:r>
      <w:r w:rsidRPr="00517456">
        <w:t xml:space="preserve"> </w:t>
      </w:r>
      <w:hyperlink r:id="rId87" w:history="1">
        <w:r w:rsidR="003B5A4B" w:rsidRPr="00517456">
          <w:rPr>
            <w:rStyle w:val="Hyperlink"/>
            <w:color w:val="595959" w:themeColor="text1" w:themeTint="A6"/>
          </w:rPr>
          <w:t>Commerce Commission New Zealand, 2018. Competitor Collaboration Guidelines.</w:t>
        </w:r>
      </w:hyperlink>
      <w:r w:rsidR="009C27E1" w:rsidRPr="00517456">
        <w:rPr>
          <w:rStyle w:val="Hyperlink"/>
          <w:color w:val="595959" w:themeColor="text1" w:themeTint="A6"/>
        </w:rPr>
        <w:t xml:space="preserve"> </w:t>
      </w:r>
      <w:r w:rsidR="009C27E1" w:rsidRPr="00517456">
        <w:rPr>
          <w:u w:val="single"/>
        </w:rPr>
        <w:t>Available at:</w:t>
      </w:r>
      <w:r w:rsidR="009C27E1" w:rsidRPr="00517456">
        <w:rPr>
          <w:rFonts w:ascii="Cambria" w:hAnsi="Cambria" w:cs="Cambria"/>
          <w:u w:val="single"/>
        </w:rPr>
        <w:t> </w:t>
      </w:r>
      <w:hyperlink r:id="rId88" w:tgtFrame="_blank" w:history="1">
        <w:r w:rsidR="00D73B3C">
          <w:rPr>
            <w:rStyle w:val="Hyperlink"/>
            <w:color w:val="595959" w:themeColor="text1" w:themeTint="A6"/>
          </w:rPr>
          <w:t>comcom.govt.nz/__data/assets/pdf_file/0036/89856/Competitor-Collaboration-guidelines.pdf</w:t>
        </w:r>
      </w:hyperlink>
    </w:p>
  </w:footnote>
  <w:footnote w:id="102">
    <w:p w14:paraId="3EDF3200" w14:textId="05EDC6A8" w:rsidR="0045516C" w:rsidRPr="00517456" w:rsidRDefault="0045516C" w:rsidP="0045516C">
      <w:pPr>
        <w:pStyle w:val="FootnoteText"/>
        <w:rPr>
          <w:lang w:val="mi-NZ"/>
        </w:rPr>
      </w:pPr>
      <w:r w:rsidRPr="00517456">
        <w:rPr>
          <w:rStyle w:val="FootnoteReference"/>
          <w:vertAlign w:val="baseline"/>
        </w:rPr>
        <w:footnoteRef/>
      </w:r>
      <w:r w:rsidRPr="00517456">
        <w:t xml:space="preserve"> </w:t>
      </w:r>
      <w:r w:rsidR="00517456">
        <w:tab/>
      </w:r>
      <w:hyperlink r:id="rId89" w:history="1">
        <w:r w:rsidR="009C27E1" w:rsidRPr="00517456">
          <w:rPr>
            <w:rStyle w:val="Hyperlink"/>
            <w:color w:val="595959" w:themeColor="text1" w:themeTint="A6"/>
          </w:rPr>
          <w:t>Ibid</w:t>
        </w:r>
      </w:hyperlink>
      <w:r w:rsidRPr="00517456">
        <w:t xml:space="preserve"> </w:t>
      </w:r>
    </w:p>
  </w:footnote>
  <w:footnote w:id="103">
    <w:p w14:paraId="138DEF89" w14:textId="75F25E51" w:rsidR="0045516C" w:rsidRPr="00890174" w:rsidRDefault="0045516C" w:rsidP="0045516C">
      <w:pPr>
        <w:pStyle w:val="FootnoteText"/>
        <w:rPr>
          <w:lang w:val="mi-NZ"/>
        </w:rPr>
      </w:pPr>
      <w:r w:rsidRPr="00517456">
        <w:rPr>
          <w:rStyle w:val="FootnoteReference"/>
          <w:vertAlign w:val="baseline"/>
        </w:rPr>
        <w:footnoteRef/>
      </w:r>
      <w:r w:rsidRPr="00517456">
        <w:t xml:space="preserve"> </w:t>
      </w:r>
      <w:hyperlink r:id="rId90" w:history="1">
        <w:r w:rsidR="00A42C3D" w:rsidRPr="00517456">
          <w:rPr>
            <w:rStyle w:val="Hyperlink"/>
            <w:color w:val="595959" w:themeColor="text1" w:themeTint="A6"/>
          </w:rPr>
          <w:t>Commerce Commission New Zealand, 2023. Collaboration and Sustainability Guidelines.</w:t>
        </w:r>
      </w:hyperlink>
      <w:r w:rsidR="00870626" w:rsidRPr="00517456">
        <w:rPr>
          <w:rStyle w:val="Hyperlink"/>
          <w:color w:val="595959" w:themeColor="text1" w:themeTint="A6"/>
        </w:rPr>
        <w:t xml:space="preserve"> </w:t>
      </w:r>
      <w:r w:rsidR="00870626" w:rsidRPr="00517456">
        <w:rPr>
          <w:u w:val="single"/>
        </w:rPr>
        <w:t>Available at:</w:t>
      </w:r>
      <w:r w:rsidR="00870626" w:rsidRPr="00517456">
        <w:rPr>
          <w:rFonts w:ascii="Cambria" w:hAnsi="Cambria" w:cs="Cambria"/>
          <w:u w:val="single"/>
        </w:rPr>
        <w:t> </w:t>
      </w:r>
      <w:hyperlink r:id="rId91" w:tgtFrame="_blank" w:history="1">
        <w:r w:rsidR="00D73B3C">
          <w:rPr>
            <w:rStyle w:val="Hyperlink"/>
            <w:color w:val="595959" w:themeColor="text1" w:themeTint="A6"/>
          </w:rPr>
          <w:t>comcom.govt.nz/business/avoiding-anti-competitive-behaviour/collaboration-and-sustainability-guidelines</w:t>
        </w:r>
      </w:hyperlink>
    </w:p>
  </w:footnote>
  <w:footnote w:id="104">
    <w:p w14:paraId="0FDABE2E" w14:textId="66DA5305" w:rsidR="000D665C" w:rsidRPr="00517456" w:rsidRDefault="000D665C" w:rsidP="000D665C">
      <w:pPr>
        <w:pStyle w:val="FootnoteText"/>
        <w:rPr>
          <w:lang w:val="mi-NZ"/>
        </w:rPr>
      </w:pPr>
      <w:r w:rsidRPr="00517456">
        <w:rPr>
          <w:rStyle w:val="FootnoteReference"/>
          <w:vertAlign w:val="baseline"/>
        </w:rPr>
        <w:footnoteRef/>
      </w:r>
      <w:r w:rsidRPr="00517456">
        <w:t xml:space="preserve"> </w:t>
      </w:r>
      <w:hyperlink r:id="rId92" w:history="1">
        <w:r w:rsidR="009F4217" w:rsidRPr="00517456">
          <w:rPr>
            <w:rStyle w:val="Hyperlink"/>
            <w:color w:val="595959" w:themeColor="text1" w:themeTint="A6"/>
          </w:rPr>
          <w:t>Reserve Bank of New Zealand Privacy Policy.</w:t>
        </w:r>
      </w:hyperlink>
      <w:r w:rsidR="009F4217" w:rsidRPr="00517456">
        <w:rPr>
          <w:rStyle w:val="Hyperlink"/>
          <w:color w:val="595959" w:themeColor="text1" w:themeTint="A6"/>
          <w:u w:val="none"/>
        </w:rPr>
        <w:t xml:space="preserve"> </w:t>
      </w:r>
      <w:r w:rsidR="009F4217" w:rsidRPr="00517456">
        <w:t>Available at:</w:t>
      </w:r>
      <w:r w:rsidR="009F4217" w:rsidRPr="00517456">
        <w:rPr>
          <w:rFonts w:ascii="Cambria" w:hAnsi="Cambria" w:cs="Cambria"/>
          <w:u w:val="single"/>
        </w:rPr>
        <w:t> </w:t>
      </w:r>
      <w:hyperlink r:id="rId93" w:tgtFrame="_blank" w:history="1">
        <w:r w:rsidR="00D73B3C">
          <w:rPr>
            <w:rStyle w:val="Hyperlink"/>
            <w:color w:val="595959" w:themeColor="text1" w:themeTint="A6"/>
          </w:rPr>
          <w:t>rbnz.govt.nz/about-our-site/privacy-policy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185F" w14:textId="3CDDB1EA" w:rsidR="00B73728" w:rsidRDefault="000D3783">
    <w:pPr>
      <w:pStyle w:val="Header"/>
    </w:pPr>
    <w:r>
      <w:rPr>
        <w:noProof/>
        <w14:ligatures w14:val="standardContextual"/>
      </w:rPr>
      <mc:AlternateContent>
        <mc:Choice Requires="wps">
          <w:drawing>
            <wp:anchor distT="0" distB="0" distL="0" distR="0" simplePos="0" relativeHeight="251663872" behindDoc="0" locked="0" layoutInCell="1" allowOverlap="1" wp14:anchorId="1FFF209F" wp14:editId="04CED642">
              <wp:simplePos x="635" y="635"/>
              <wp:positionH relativeFrom="page">
                <wp:align>center</wp:align>
              </wp:positionH>
              <wp:positionV relativeFrom="page">
                <wp:align>top</wp:align>
              </wp:positionV>
              <wp:extent cx="737870" cy="345440"/>
              <wp:effectExtent l="0" t="0" r="5080" b="16510"/>
              <wp:wrapNone/>
              <wp:docPr id="213367939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40156126" w14:textId="0F3CBBFC"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FF209F" id="_x0000_t202" coordsize="21600,21600" o:spt="202" path="m,l,21600r21600,l21600,xe">
              <v:stroke joinstyle="miter"/>
              <v:path gradientshapeok="t" o:connecttype="rect"/>
            </v:shapetype>
            <v:shape id="_x0000_s1029" type="#_x0000_t202" alt="UNCLASSIFIED" style="position:absolute;left:0;text-align:left;margin-left:0;margin-top:0;width:58.1pt;height:27.2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" filled="f" stroked="f">
              <v:textbox style="mso-fit-shape-to-text:t" inset="0,15pt,0,0">
                <w:txbxContent>
                  <w:p w14:paraId="40156126" w14:textId="0F3CBBFC"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5723" w14:textId="1ADBD8BF" w:rsidR="006E787D" w:rsidRDefault="00746B3D" w:rsidP="00746B3D">
    <w:pPr>
      <w:pStyle w:val="Classification"/>
      <w:spacing w:before="0"/>
      <w:jc w:val="right"/>
    </w:pPr>
    <w:r w:rsidRPr="00E54A02">
      <w:rPr>
        <w:noProof/>
      </w:rPr>
      <w:drawing>
        <wp:inline distT="0" distB="0" distL="0" distR="0" wp14:anchorId="49200BE5" wp14:editId="7F16D74C">
          <wp:extent cx="1932069" cy="288000"/>
          <wp:effectExtent l="0" t="0" r="0" b="0"/>
          <wp:docPr id="15609203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4103" name="Picture 1" descr="A black text on a white background&#10;&#10;AI-generated content may be incorrect."/>
                  <pic:cNvPicPr/>
                </pic:nvPicPr>
                <pic:blipFill>
                  <a:blip r:embed="rId1">
                    <a:clrChange>
                      <a:clrFrom>
                        <a:srgbClr val="FFFFFF"/>
                      </a:clrFrom>
                      <a:clrTo>
                        <a:srgbClr val="FFFFFF">
                          <a:alpha val="0"/>
                        </a:srgbClr>
                      </a:clrTo>
                    </a:clrChange>
                  </a:blip>
                  <a:stretch>
                    <a:fillRect/>
                  </a:stretch>
                </pic:blipFill>
                <pic:spPr>
                  <a:xfrm>
                    <a:off x="0" y="0"/>
                    <a:ext cx="1932069"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286F1" w14:textId="373C2ECA" w:rsidR="00ED33E6" w:rsidRPr="000343F1" w:rsidRDefault="00ED33E6" w:rsidP="00746B3D">
    <w:pPr>
      <w:pStyle w:val="Header"/>
      <w:jc w:val="left"/>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BB99" w14:textId="00F4D3F2" w:rsidR="000343F1" w:rsidRPr="000343F1" w:rsidRDefault="000343F1" w:rsidP="000343F1">
    <w:pPr>
      <w:pStyle w:val="Header"/>
    </w:pPr>
    <w:r w:rsidRPr="00E54A02">
      <w:rPr>
        <w:noProof/>
      </w:rPr>
      <w:drawing>
        <wp:inline distT="0" distB="0" distL="0" distR="0" wp14:anchorId="4B73ABF4" wp14:editId="2F987C98">
          <wp:extent cx="1932069" cy="288000"/>
          <wp:effectExtent l="0" t="0" r="0" b="0"/>
          <wp:docPr id="144021894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4103" name="Picture 1" descr="A black text on a white background&#10;&#10;AI-generated content may be incorrect."/>
                  <pic:cNvPicPr/>
                </pic:nvPicPr>
                <pic:blipFill>
                  <a:blip r:embed="rId1">
                    <a:clrChange>
                      <a:clrFrom>
                        <a:srgbClr val="FFFFFF"/>
                      </a:clrFrom>
                      <a:clrTo>
                        <a:srgbClr val="FFFFFF">
                          <a:alpha val="0"/>
                        </a:srgbClr>
                      </a:clrTo>
                    </a:clrChange>
                  </a:blip>
                  <a:stretch>
                    <a:fillRect/>
                  </a:stretch>
                </pic:blipFill>
                <pic:spPr>
                  <a:xfrm>
                    <a:off x="0" y="0"/>
                    <a:ext cx="1932069" cy="288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32184" w14:textId="2BEE470F" w:rsidR="000D3783" w:rsidRDefault="000D3783">
    <w:pPr>
      <w:pStyle w:val="Header"/>
    </w:pPr>
    <w:r>
      <w:rPr>
        <w:noProof/>
        <w14:ligatures w14:val="standardContextual"/>
      </w:rPr>
      <mc:AlternateContent>
        <mc:Choice Requires="wps">
          <w:drawing>
            <wp:anchor distT="0" distB="0" distL="0" distR="0" simplePos="0" relativeHeight="251666944" behindDoc="0" locked="0" layoutInCell="1" allowOverlap="1" wp14:anchorId="6F28C471" wp14:editId="3B0741D4">
              <wp:simplePos x="635" y="635"/>
              <wp:positionH relativeFrom="page">
                <wp:align>center</wp:align>
              </wp:positionH>
              <wp:positionV relativeFrom="page">
                <wp:align>top</wp:align>
              </wp:positionV>
              <wp:extent cx="737870" cy="345440"/>
              <wp:effectExtent l="0" t="0" r="5080" b="16510"/>
              <wp:wrapNone/>
              <wp:docPr id="817471216"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7870" cy="345440"/>
                      </a:xfrm>
                      <a:prstGeom prst="rect">
                        <a:avLst/>
                      </a:prstGeom>
                      <a:noFill/>
                      <a:ln>
                        <a:noFill/>
                      </a:ln>
                    </wps:spPr>
                    <wps:txbx>
                      <w:txbxContent>
                        <w:p w14:paraId="3ADD28E5" w14:textId="51769F40"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8C471" id="_x0000_t202" coordsize="21600,21600" o:spt="202" path="m,l,21600r21600,l21600,xe">
              <v:stroke joinstyle="miter"/>
              <v:path gradientshapeok="t" o:connecttype="rect"/>
            </v:shapetype>
            <v:shape id="Text Box 5" o:spid="_x0000_s1031" type="#_x0000_t202" alt="UNCLASSIFIED" style="position:absolute;left:0;text-align:left;margin-left:0;margin-top:0;width:58.1pt;height:27.2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" filled="f" stroked="f">
              <v:textbox style="mso-fit-shape-to-text:t" inset="0,15pt,0,0">
                <w:txbxContent>
                  <w:p w14:paraId="3ADD28E5" w14:textId="51769F40" w:rsidR="000D3783" w:rsidRPr="000D3783" w:rsidRDefault="000D3783" w:rsidP="000D3783">
                    <w:pPr>
                      <w:spacing w:after="0"/>
                      <w:rPr>
                        <w:rFonts w:ascii="Calibri" w:eastAsia="Calibri" w:hAnsi="Calibri" w:cs="Calibri"/>
                        <w:noProof/>
                        <w:color w:val="000000"/>
                        <w:sz w:val="20"/>
                        <w:szCs w:val="20"/>
                      </w:rPr>
                    </w:pPr>
                    <w:r w:rsidRPr="000D3783">
                      <w:rPr>
                        <w:rFonts w:ascii="Calibri" w:eastAsia="Calibri" w:hAnsi="Calibri" w:cs="Calibri"/>
                        <w:noProof/>
                        <w:color w:val="000000"/>
                        <w:sz w:val="20"/>
                        <w:szCs w:val="2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D324E" w14:textId="3F91A0F5" w:rsidR="000D3783" w:rsidRPr="000343F1" w:rsidRDefault="000343F1">
    <w:pPr>
      <w:pStyle w:val="Header"/>
      <w:rPr>
        <w:b/>
        <w:bCs/>
      </w:rPr>
    </w:pPr>
    <w:r w:rsidRPr="00E54A02">
      <w:rPr>
        <w:noProof/>
      </w:rPr>
      <w:drawing>
        <wp:inline distT="0" distB="0" distL="0" distR="0" wp14:anchorId="50D89A5D" wp14:editId="20A6C6F1">
          <wp:extent cx="1932069" cy="288000"/>
          <wp:effectExtent l="0" t="0" r="0" b="0"/>
          <wp:docPr id="93877850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4103" name="Picture 1" descr="A black text on a white background&#10;&#10;AI-generated content may be incorrect."/>
                  <pic:cNvPicPr/>
                </pic:nvPicPr>
                <pic:blipFill>
                  <a:blip r:embed="rId1">
                    <a:clrChange>
                      <a:clrFrom>
                        <a:srgbClr val="FFFFFF"/>
                      </a:clrFrom>
                      <a:clrTo>
                        <a:srgbClr val="FFFFFF">
                          <a:alpha val="0"/>
                        </a:srgbClr>
                      </a:clrTo>
                    </a:clrChange>
                  </a:blip>
                  <a:stretch>
                    <a:fillRect/>
                  </a:stretch>
                </pic:blipFill>
                <pic:spPr>
                  <a:xfrm>
                    <a:off x="0" y="0"/>
                    <a:ext cx="1932069" cy="2880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352D" w14:textId="78A85CBF" w:rsidR="000D3783" w:rsidRDefault="000343F1">
    <w:pPr>
      <w:pStyle w:val="Header"/>
    </w:pPr>
    <w:r w:rsidRPr="00E54A02">
      <w:rPr>
        <w:noProof/>
      </w:rPr>
      <w:drawing>
        <wp:inline distT="0" distB="0" distL="0" distR="0" wp14:anchorId="6DFB0931" wp14:editId="529C8CAB">
          <wp:extent cx="1932069" cy="288000"/>
          <wp:effectExtent l="0" t="0" r="0" b="0"/>
          <wp:docPr id="919411038"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74103" name="Picture 1" descr="A black text on a white background&#10;&#10;AI-generated content may be incorrect."/>
                  <pic:cNvPicPr/>
                </pic:nvPicPr>
                <pic:blipFill>
                  <a:blip r:embed="rId1">
                    <a:clrChange>
                      <a:clrFrom>
                        <a:srgbClr val="FFFFFF"/>
                      </a:clrFrom>
                      <a:clrTo>
                        <a:srgbClr val="FFFFFF">
                          <a:alpha val="0"/>
                        </a:srgbClr>
                      </a:clrTo>
                    </a:clrChange>
                  </a:blip>
                  <a:stretch>
                    <a:fillRect/>
                  </a:stretch>
                </pic:blipFill>
                <pic:spPr>
                  <a:xfrm>
                    <a:off x="0" y="0"/>
                    <a:ext cx="1932069"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608519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1EAE21C"/>
    <w:lvl w:ilvl="0">
      <w:start w:val="1"/>
      <w:numFmt w:val="decimal"/>
      <w:lvlText w:val="%1."/>
      <w:lvlJc w:val="left"/>
      <w:pPr>
        <w:tabs>
          <w:tab w:val="num" w:pos="360"/>
        </w:tabs>
        <w:ind w:left="360" w:hanging="360"/>
      </w:pPr>
    </w:lvl>
  </w:abstractNum>
  <w:abstractNum w:abstractNumId="2" w15:restartNumberingAfterBreak="0">
    <w:nsid w:val="0F60064F"/>
    <w:multiLevelType w:val="hybridMultilevel"/>
    <w:tmpl w:val="503C6B40"/>
    <w:lvl w:ilvl="0" w:tplc="14090001">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3" w15:restartNumberingAfterBreak="0">
    <w:nsid w:val="1E1A0729"/>
    <w:multiLevelType w:val="multilevel"/>
    <w:tmpl w:val="89EEDE34"/>
    <w:lvl w:ilvl="0">
      <w:start w:val="1"/>
      <w:numFmt w:val="bullet"/>
      <w:lvlText w:val=""/>
      <w:lvlJc w:val="left"/>
      <w:pPr>
        <w:ind w:left="340" w:hanging="340"/>
      </w:pPr>
      <w:rPr>
        <w:rFonts w:ascii="Wingdings" w:hAnsi="Wingdings" w:hint="default"/>
        <w:color w:val="6B2A7F"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847CE2A"/>
    <w:multiLevelType w:val="hybridMultilevel"/>
    <w:tmpl w:val="068804C0"/>
    <w:lvl w:ilvl="0" w:tplc="7CC07286">
      <w:start w:val="1"/>
      <w:numFmt w:val="bullet"/>
      <w:lvlText w:val=""/>
      <w:lvlJc w:val="left"/>
      <w:pPr>
        <w:ind w:left="720" w:hanging="360"/>
      </w:pPr>
      <w:rPr>
        <w:rFonts w:ascii="Symbol" w:hAnsi="Symbol" w:hint="default"/>
      </w:rPr>
    </w:lvl>
    <w:lvl w:ilvl="1" w:tplc="19426D0C">
      <w:start w:val="1"/>
      <w:numFmt w:val="bullet"/>
      <w:lvlText w:val="o"/>
      <w:lvlJc w:val="left"/>
      <w:pPr>
        <w:ind w:left="1440" w:hanging="360"/>
      </w:pPr>
      <w:rPr>
        <w:rFonts w:ascii="Courier New" w:hAnsi="Courier New" w:hint="default"/>
      </w:rPr>
    </w:lvl>
    <w:lvl w:ilvl="2" w:tplc="BD724B16">
      <w:start w:val="1"/>
      <w:numFmt w:val="bullet"/>
      <w:lvlText w:val=""/>
      <w:lvlJc w:val="left"/>
      <w:pPr>
        <w:ind w:left="2160" w:hanging="360"/>
      </w:pPr>
      <w:rPr>
        <w:rFonts w:ascii="Wingdings" w:hAnsi="Wingdings" w:hint="default"/>
      </w:rPr>
    </w:lvl>
    <w:lvl w:ilvl="3" w:tplc="EE060348">
      <w:start w:val="1"/>
      <w:numFmt w:val="bullet"/>
      <w:lvlText w:val=""/>
      <w:lvlJc w:val="left"/>
      <w:pPr>
        <w:ind w:left="2880" w:hanging="360"/>
      </w:pPr>
      <w:rPr>
        <w:rFonts w:ascii="Symbol" w:hAnsi="Symbol" w:hint="default"/>
      </w:rPr>
    </w:lvl>
    <w:lvl w:ilvl="4" w:tplc="46F48A8E">
      <w:start w:val="1"/>
      <w:numFmt w:val="bullet"/>
      <w:lvlText w:val="o"/>
      <w:lvlJc w:val="left"/>
      <w:pPr>
        <w:ind w:left="3600" w:hanging="360"/>
      </w:pPr>
      <w:rPr>
        <w:rFonts w:ascii="Courier New" w:hAnsi="Courier New" w:hint="default"/>
      </w:rPr>
    </w:lvl>
    <w:lvl w:ilvl="5" w:tplc="EAF0B61A">
      <w:start w:val="1"/>
      <w:numFmt w:val="bullet"/>
      <w:lvlText w:val=""/>
      <w:lvlJc w:val="left"/>
      <w:pPr>
        <w:ind w:left="4320" w:hanging="360"/>
      </w:pPr>
      <w:rPr>
        <w:rFonts w:ascii="Wingdings" w:hAnsi="Wingdings" w:hint="default"/>
      </w:rPr>
    </w:lvl>
    <w:lvl w:ilvl="6" w:tplc="A1908A5E">
      <w:start w:val="1"/>
      <w:numFmt w:val="bullet"/>
      <w:lvlText w:val=""/>
      <w:lvlJc w:val="left"/>
      <w:pPr>
        <w:ind w:left="5040" w:hanging="360"/>
      </w:pPr>
      <w:rPr>
        <w:rFonts w:ascii="Symbol" w:hAnsi="Symbol" w:hint="default"/>
      </w:rPr>
    </w:lvl>
    <w:lvl w:ilvl="7" w:tplc="A456E634">
      <w:start w:val="1"/>
      <w:numFmt w:val="bullet"/>
      <w:lvlText w:val="o"/>
      <w:lvlJc w:val="left"/>
      <w:pPr>
        <w:ind w:left="5760" w:hanging="360"/>
      </w:pPr>
      <w:rPr>
        <w:rFonts w:ascii="Courier New" w:hAnsi="Courier New" w:hint="default"/>
      </w:rPr>
    </w:lvl>
    <w:lvl w:ilvl="8" w:tplc="037601A4">
      <w:start w:val="1"/>
      <w:numFmt w:val="bullet"/>
      <w:lvlText w:val=""/>
      <w:lvlJc w:val="left"/>
      <w:pPr>
        <w:ind w:left="6480" w:hanging="360"/>
      </w:pPr>
      <w:rPr>
        <w:rFonts w:ascii="Wingdings" w:hAnsi="Wingdings" w:hint="default"/>
      </w:rPr>
    </w:lvl>
  </w:abstractNum>
  <w:abstractNum w:abstractNumId="5" w15:restartNumberingAfterBreak="0">
    <w:nsid w:val="2BBF0603"/>
    <w:multiLevelType w:val="hybridMultilevel"/>
    <w:tmpl w:val="BBCE4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54408D"/>
    <w:multiLevelType w:val="multilevel"/>
    <w:tmpl w:val="2DDA6DCC"/>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7" w15:restartNumberingAfterBreak="0">
    <w:nsid w:val="3F711333"/>
    <w:multiLevelType w:val="multilevel"/>
    <w:tmpl w:val="3B382254"/>
    <w:lvl w:ilvl="0">
      <w:start w:val="1"/>
      <w:numFmt w:val="bullet"/>
      <w:pStyle w:val="ListBullet"/>
      <w:lvlText w:val=""/>
      <w:lvlJc w:val="left"/>
      <w:pPr>
        <w:ind w:left="357" w:hanging="357"/>
      </w:pPr>
      <w:rPr>
        <w:rFonts w:ascii="Wingdings" w:hAnsi="Wingdings" w:hint="default"/>
        <w:color w:val="6B2A7F" w:themeColor="accent3"/>
      </w:rPr>
    </w:lvl>
    <w:lvl w:ilvl="1">
      <w:start w:val="1"/>
      <w:numFmt w:val="bullet"/>
      <w:pStyle w:val="ListBullet2"/>
      <w:lvlText w:val="◦"/>
      <w:lvlJc w:val="left"/>
      <w:pPr>
        <w:ind w:left="680" w:hanging="340"/>
      </w:pPr>
      <w:rPr>
        <w:rFonts w:ascii="Segoe UI" w:hAnsi="Segoe UI" w:hint="default"/>
        <w:color w:val="6B2A7F" w:themeColor="accent3"/>
      </w:rPr>
    </w:lvl>
    <w:lvl w:ilvl="2">
      <w:start w:val="1"/>
      <w:numFmt w:val="bullet"/>
      <w:pStyle w:val="ListBullet3"/>
      <w:lvlText w:val="▪"/>
      <w:lvlJc w:val="left"/>
      <w:pPr>
        <w:ind w:left="1021" w:hanging="341"/>
      </w:pPr>
      <w:rPr>
        <w:rFonts w:ascii="Segoe UI" w:hAnsi="Segoe UI" w:hint="default"/>
        <w:color w:val="6B2A7F" w:themeColor="accent3"/>
      </w:rPr>
    </w:lvl>
    <w:lvl w:ilvl="3">
      <w:start w:val="1"/>
      <w:numFmt w:val="bullet"/>
      <w:pStyle w:val="ListBullet4"/>
      <w:lvlText w:val="▫"/>
      <w:lvlJc w:val="left"/>
      <w:pPr>
        <w:ind w:left="1361" w:hanging="340"/>
      </w:pPr>
      <w:rPr>
        <w:rFonts w:ascii="Segoe UI" w:hAnsi="Segoe UI" w:hint="default"/>
        <w:color w:val="6B2A7F" w:themeColor="accent3"/>
      </w:rPr>
    </w:lvl>
    <w:lvl w:ilvl="4">
      <w:start w:val="1"/>
      <w:numFmt w:val="bullet"/>
      <w:pStyle w:val="ListBullet5"/>
      <w:lvlText w:val="‐"/>
      <w:lvlJc w:val="left"/>
      <w:pPr>
        <w:ind w:left="1701" w:hanging="340"/>
      </w:pPr>
      <w:rPr>
        <w:rFonts w:ascii="Times New Roman" w:hAnsi="Times New Roman" w:cs="Times New Roman" w:hint="default"/>
        <w:color w:val="6B2A7F" w:themeColor="accent3"/>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AA274C5"/>
    <w:multiLevelType w:val="hybridMultilevel"/>
    <w:tmpl w:val="0FB0304E"/>
    <w:lvl w:ilvl="0" w:tplc="14090001">
      <w:start w:val="1"/>
      <w:numFmt w:val="bullet"/>
      <w:lvlText w:val=""/>
      <w:lvlJc w:val="left"/>
      <w:pPr>
        <w:ind w:left="663" w:hanging="360"/>
      </w:pPr>
      <w:rPr>
        <w:rFonts w:ascii="Symbol" w:hAnsi="Symbol" w:hint="default"/>
      </w:rPr>
    </w:lvl>
    <w:lvl w:ilvl="1" w:tplc="14090003" w:tentative="1">
      <w:start w:val="1"/>
      <w:numFmt w:val="bullet"/>
      <w:lvlText w:val="o"/>
      <w:lvlJc w:val="left"/>
      <w:pPr>
        <w:ind w:left="1383" w:hanging="360"/>
      </w:pPr>
      <w:rPr>
        <w:rFonts w:ascii="Courier New" w:hAnsi="Courier New" w:cs="Courier New" w:hint="default"/>
      </w:rPr>
    </w:lvl>
    <w:lvl w:ilvl="2" w:tplc="14090005" w:tentative="1">
      <w:start w:val="1"/>
      <w:numFmt w:val="bullet"/>
      <w:lvlText w:val=""/>
      <w:lvlJc w:val="left"/>
      <w:pPr>
        <w:ind w:left="2103" w:hanging="360"/>
      </w:pPr>
      <w:rPr>
        <w:rFonts w:ascii="Wingdings" w:hAnsi="Wingdings" w:hint="default"/>
      </w:rPr>
    </w:lvl>
    <w:lvl w:ilvl="3" w:tplc="14090001" w:tentative="1">
      <w:start w:val="1"/>
      <w:numFmt w:val="bullet"/>
      <w:lvlText w:val=""/>
      <w:lvlJc w:val="left"/>
      <w:pPr>
        <w:ind w:left="2823" w:hanging="360"/>
      </w:pPr>
      <w:rPr>
        <w:rFonts w:ascii="Symbol" w:hAnsi="Symbol" w:hint="default"/>
      </w:rPr>
    </w:lvl>
    <w:lvl w:ilvl="4" w:tplc="14090003" w:tentative="1">
      <w:start w:val="1"/>
      <w:numFmt w:val="bullet"/>
      <w:lvlText w:val="o"/>
      <w:lvlJc w:val="left"/>
      <w:pPr>
        <w:ind w:left="3543" w:hanging="360"/>
      </w:pPr>
      <w:rPr>
        <w:rFonts w:ascii="Courier New" w:hAnsi="Courier New" w:cs="Courier New" w:hint="default"/>
      </w:rPr>
    </w:lvl>
    <w:lvl w:ilvl="5" w:tplc="14090005" w:tentative="1">
      <w:start w:val="1"/>
      <w:numFmt w:val="bullet"/>
      <w:lvlText w:val=""/>
      <w:lvlJc w:val="left"/>
      <w:pPr>
        <w:ind w:left="4263" w:hanging="360"/>
      </w:pPr>
      <w:rPr>
        <w:rFonts w:ascii="Wingdings" w:hAnsi="Wingdings" w:hint="default"/>
      </w:rPr>
    </w:lvl>
    <w:lvl w:ilvl="6" w:tplc="14090001" w:tentative="1">
      <w:start w:val="1"/>
      <w:numFmt w:val="bullet"/>
      <w:lvlText w:val=""/>
      <w:lvlJc w:val="left"/>
      <w:pPr>
        <w:ind w:left="4983" w:hanging="360"/>
      </w:pPr>
      <w:rPr>
        <w:rFonts w:ascii="Symbol" w:hAnsi="Symbol" w:hint="default"/>
      </w:rPr>
    </w:lvl>
    <w:lvl w:ilvl="7" w:tplc="14090003" w:tentative="1">
      <w:start w:val="1"/>
      <w:numFmt w:val="bullet"/>
      <w:lvlText w:val="o"/>
      <w:lvlJc w:val="left"/>
      <w:pPr>
        <w:ind w:left="5703" w:hanging="360"/>
      </w:pPr>
      <w:rPr>
        <w:rFonts w:ascii="Courier New" w:hAnsi="Courier New" w:cs="Courier New" w:hint="default"/>
      </w:rPr>
    </w:lvl>
    <w:lvl w:ilvl="8" w:tplc="14090005" w:tentative="1">
      <w:start w:val="1"/>
      <w:numFmt w:val="bullet"/>
      <w:lvlText w:val=""/>
      <w:lvlJc w:val="left"/>
      <w:pPr>
        <w:ind w:left="6423" w:hanging="360"/>
      </w:pPr>
      <w:rPr>
        <w:rFonts w:ascii="Wingdings" w:hAnsi="Wingdings" w:hint="default"/>
      </w:rPr>
    </w:lvl>
  </w:abstractNum>
  <w:abstractNum w:abstractNumId="9" w15:restartNumberingAfterBreak="0">
    <w:nsid w:val="4E596537"/>
    <w:multiLevelType w:val="hybridMultilevel"/>
    <w:tmpl w:val="95E02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D26BE4"/>
    <w:multiLevelType w:val="hybridMultilevel"/>
    <w:tmpl w:val="91A86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BC432CD"/>
    <w:multiLevelType w:val="multilevel"/>
    <w:tmpl w:val="578ACD8C"/>
    <w:lvl w:ilvl="0">
      <w:start w:val="1"/>
      <w:numFmt w:val="decimal"/>
      <w:pStyle w:val="ListNumber"/>
      <w:lvlText w:val="%1."/>
      <w:lvlJc w:val="left"/>
      <w:pPr>
        <w:ind w:left="340" w:hanging="340"/>
      </w:pPr>
      <w:rPr>
        <w:rFonts w:ascii="Segoe UI Semibold" w:hAnsi="Segoe UI Semibold" w:hint="default"/>
        <w:b w:val="0"/>
        <w:i w:val="0"/>
        <w:color w:val="6B2A7F" w:themeColor="accent3"/>
      </w:rPr>
    </w:lvl>
    <w:lvl w:ilvl="1">
      <w:start w:val="1"/>
      <w:numFmt w:val="lowerRoman"/>
      <w:pStyle w:val="ListNumber2"/>
      <w:lvlText w:val="%2."/>
      <w:lvlJc w:val="left"/>
      <w:pPr>
        <w:ind w:left="680" w:hanging="340"/>
      </w:pPr>
      <w:rPr>
        <w:rFonts w:ascii="Segoe UI Semibold" w:hAnsi="Segoe UI Semibold" w:hint="default"/>
        <w:b w:val="0"/>
        <w:i w:val="0"/>
        <w:color w:val="6B2A7F" w:themeColor="accent3"/>
      </w:rPr>
    </w:lvl>
    <w:lvl w:ilvl="2">
      <w:start w:val="1"/>
      <w:numFmt w:val="lowerLetter"/>
      <w:pStyle w:val="ListNumber3"/>
      <w:lvlText w:val="%3."/>
      <w:lvlJc w:val="left"/>
      <w:pPr>
        <w:ind w:left="1021" w:hanging="341"/>
      </w:pPr>
      <w:rPr>
        <w:rFonts w:ascii="Segoe UI Semibold" w:hAnsi="Segoe UI Semibold" w:hint="default"/>
        <w:b w:val="0"/>
        <w:i w:val="0"/>
        <w:color w:val="6B2A7F"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56203297">
    <w:abstractNumId w:val="6"/>
  </w:num>
  <w:num w:numId="2" w16cid:durableId="11266542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68941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5055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0133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23340911">
    <w:abstractNumId w:val="7"/>
  </w:num>
  <w:num w:numId="7" w16cid:durableId="1571232186">
    <w:abstractNumId w:val="11"/>
  </w:num>
  <w:num w:numId="8" w16cid:durableId="950360379">
    <w:abstractNumId w:val="1"/>
  </w:num>
  <w:num w:numId="9" w16cid:durableId="1545405238">
    <w:abstractNumId w:val="1"/>
  </w:num>
  <w:num w:numId="10" w16cid:durableId="7718978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8159796">
    <w:abstractNumId w:val="1"/>
  </w:num>
  <w:num w:numId="12" w16cid:durableId="14758267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5098310">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6856905">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7895405">
    <w:abstractNumId w:val="11"/>
  </w:num>
  <w:num w:numId="16" w16cid:durableId="839927496">
    <w:abstractNumId w:val="11"/>
  </w:num>
  <w:num w:numId="17" w16cid:durableId="1771511010">
    <w:abstractNumId w:val="11"/>
  </w:num>
  <w:num w:numId="18" w16cid:durableId="91048490">
    <w:abstractNumId w:val="11"/>
  </w:num>
  <w:num w:numId="19" w16cid:durableId="1264609615">
    <w:abstractNumId w:val="11"/>
  </w:num>
  <w:num w:numId="20" w16cid:durableId="422535053">
    <w:abstractNumId w:val="11"/>
  </w:num>
  <w:num w:numId="21" w16cid:durableId="205681148">
    <w:abstractNumId w:val="11"/>
  </w:num>
  <w:num w:numId="22" w16cid:durableId="1294749257">
    <w:abstractNumId w:val="1"/>
  </w:num>
  <w:num w:numId="23" w16cid:durableId="725883955">
    <w:abstractNumId w:val="1"/>
  </w:num>
  <w:num w:numId="24" w16cid:durableId="291206520">
    <w:abstractNumId w:val="1"/>
  </w:num>
  <w:num w:numId="25" w16cid:durableId="1925995953">
    <w:abstractNumId w:val="1"/>
  </w:num>
  <w:num w:numId="26" w16cid:durableId="1874267933">
    <w:abstractNumId w:val="0"/>
  </w:num>
  <w:num w:numId="27" w16cid:durableId="1013262431">
    <w:abstractNumId w:val="2"/>
  </w:num>
  <w:num w:numId="28" w16cid:durableId="920068363">
    <w:abstractNumId w:val="9"/>
  </w:num>
  <w:num w:numId="29" w16cid:durableId="1807356670">
    <w:abstractNumId w:val="4"/>
  </w:num>
  <w:num w:numId="30" w16cid:durableId="1502356435">
    <w:abstractNumId w:val="3"/>
  </w:num>
  <w:num w:numId="31" w16cid:durableId="1930967484">
    <w:abstractNumId w:val="5"/>
  </w:num>
  <w:num w:numId="32" w16cid:durableId="1358315175">
    <w:abstractNumId w:val="10"/>
  </w:num>
  <w:num w:numId="33" w16cid:durableId="1207182866">
    <w:abstractNumId w:val="8"/>
  </w:num>
  <w:num w:numId="34" w16cid:durableId="18983924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yNDY2MzU0MrWwMLVU0lEKTi0uzszPAykwqwUAs8NmfywAAAA="/>
  </w:docVars>
  <w:rsids>
    <w:rsidRoot w:val="000A2E02"/>
    <w:rsid w:val="0000107E"/>
    <w:rsid w:val="000010DD"/>
    <w:rsid w:val="000011E0"/>
    <w:rsid w:val="000015DF"/>
    <w:rsid w:val="00002103"/>
    <w:rsid w:val="00004060"/>
    <w:rsid w:val="00004310"/>
    <w:rsid w:val="0000542A"/>
    <w:rsid w:val="00006C2C"/>
    <w:rsid w:val="000075D6"/>
    <w:rsid w:val="00010071"/>
    <w:rsid w:val="00010453"/>
    <w:rsid w:val="00010B03"/>
    <w:rsid w:val="0001153C"/>
    <w:rsid w:val="000118B3"/>
    <w:rsid w:val="00012176"/>
    <w:rsid w:val="00012856"/>
    <w:rsid w:val="00012BD6"/>
    <w:rsid w:val="0001301C"/>
    <w:rsid w:val="00013717"/>
    <w:rsid w:val="00013986"/>
    <w:rsid w:val="00014522"/>
    <w:rsid w:val="0001470E"/>
    <w:rsid w:val="00014833"/>
    <w:rsid w:val="00015BA6"/>
    <w:rsid w:val="00015C9C"/>
    <w:rsid w:val="00016FA2"/>
    <w:rsid w:val="000202B7"/>
    <w:rsid w:val="00020548"/>
    <w:rsid w:val="00020783"/>
    <w:rsid w:val="00020908"/>
    <w:rsid w:val="0002119F"/>
    <w:rsid w:val="00021AB5"/>
    <w:rsid w:val="000232F0"/>
    <w:rsid w:val="0002342F"/>
    <w:rsid w:val="000234A3"/>
    <w:rsid w:val="000237F7"/>
    <w:rsid w:val="00024997"/>
    <w:rsid w:val="0002595A"/>
    <w:rsid w:val="00025BA1"/>
    <w:rsid w:val="00025F86"/>
    <w:rsid w:val="00026845"/>
    <w:rsid w:val="00026E71"/>
    <w:rsid w:val="000308F1"/>
    <w:rsid w:val="00031187"/>
    <w:rsid w:val="00031F3D"/>
    <w:rsid w:val="00032039"/>
    <w:rsid w:val="00032103"/>
    <w:rsid w:val="00032740"/>
    <w:rsid w:val="00032C69"/>
    <w:rsid w:val="0003378F"/>
    <w:rsid w:val="000343F1"/>
    <w:rsid w:val="0003440D"/>
    <w:rsid w:val="000349A7"/>
    <w:rsid w:val="0003709A"/>
    <w:rsid w:val="000377D5"/>
    <w:rsid w:val="00037B37"/>
    <w:rsid w:val="00037CA0"/>
    <w:rsid w:val="000410AE"/>
    <w:rsid w:val="000413F0"/>
    <w:rsid w:val="00041A30"/>
    <w:rsid w:val="00042BC7"/>
    <w:rsid w:val="00044766"/>
    <w:rsid w:val="0004598A"/>
    <w:rsid w:val="000460F8"/>
    <w:rsid w:val="00046139"/>
    <w:rsid w:val="000472B4"/>
    <w:rsid w:val="0004753C"/>
    <w:rsid w:val="00047739"/>
    <w:rsid w:val="000511EF"/>
    <w:rsid w:val="00051F65"/>
    <w:rsid w:val="00052537"/>
    <w:rsid w:val="000530ED"/>
    <w:rsid w:val="00053B84"/>
    <w:rsid w:val="00054B49"/>
    <w:rsid w:val="00055E43"/>
    <w:rsid w:val="00057188"/>
    <w:rsid w:val="000574A1"/>
    <w:rsid w:val="000600C2"/>
    <w:rsid w:val="000610E3"/>
    <w:rsid w:val="00061FCB"/>
    <w:rsid w:val="000622AA"/>
    <w:rsid w:val="0006301A"/>
    <w:rsid w:val="0006358A"/>
    <w:rsid w:val="00063C24"/>
    <w:rsid w:val="00064385"/>
    <w:rsid w:val="0006477D"/>
    <w:rsid w:val="00065BF3"/>
    <w:rsid w:val="000666DF"/>
    <w:rsid w:val="0006696B"/>
    <w:rsid w:val="00066D2D"/>
    <w:rsid w:val="00067A6E"/>
    <w:rsid w:val="0007029A"/>
    <w:rsid w:val="000706B5"/>
    <w:rsid w:val="000707CC"/>
    <w:rsid w:val="000725A0"/>
    <w:rsid w:val="00072EC4"/>
    <w:rsid w:val="00074928"/>
    <w:rsid w:val="00076802"/>
    <w:rsid w:val="00076B28"/>
    <w:rsid w:val="00076ED0"/>
    <w:rsid w:val="00080458"/>
    <w:rsid w:val="00080B4D"/>
    <w:rsid w:val="00080EC9"/>
    <w:rsid w:val="0008114C"/>
    <w:rsid w:val="000826B0"/>
    <w:rsid w:val="000832D1"/>
    <w:rsid w:val="0008381D"/>
    <w:rsid w:val="000842C7"/>
    <w:rsid w:val="0008512B"/>
    <w:rsid w:val="00085269"/>
    <w:rsid w:val="0008574D"/>
    <w:rsid w:val="000858B5"/>
    <w:rsid w:val="000860F7"/>
    <w:rsid w:val="00086119"/>
    <w:rsid w:val="0008741E"/>
    <w:rsid w:val="00087AD8"/>
    <w:rsid w:val="00087C2D"/>
    <w:rsid w:val="000905BB"/>
    <w:rsid w:val="00090CBB"/>
    <w:rsid w:val="00090E92"/>
    <w:rsid w:val="00091237"/>
    <w:rsid w:val="00091458"/>
    <w:rsid w:val="000915FA"/>
    <w:rsid w:val="00091671"/>
    <w:rsid w:val="00091A2E"/>
    <w:rsid w:val="00091CE0"/>
    <w:rsid w:val="00091F57"/>
    <w:rsid w:val="00091F87"/>
    <w:rsid w:val="00092BC7"/>
    <w:rsid w:val="00092D29"/>
    <w:rsid w:val="000930B2"/>
    <w:rsid w:val="0009310D"/>
    <w:rsid w:val="00093896"/>
    <w:rsid w:val="000943E2"/>
    <w:rsid w:val="00096C12"/>
    <w:rsid w:val="00096ED2"/>
    <w:rsid w:val="000A0829"/>
    <w:rsid w:val="000A118A"/>
    <w:rsid w:val="000A2025"/>
    <w:rsid w:val="000A2563"/>
    <w:rsid w:val="000A2E02"/>
    <w:rsid w:val="000A3108"/>
    <w:rsid w:val="000A317E"/>
    <w:rsid w:val="000A3548"/>
    <w:rsid w:val="000A3AFF"/>
    <w:rsid w:val="000A46F4"/>
    <w:rsid w:val="000A4D2E"/>
    <w:rsid w:val="000A4E46"/>
    <w:rsid w:val="000A5A14"/>
    <w:rsid w:val="000A5DA2"/>
    <w:rsid w:val="000B11E9"/>
    <w:rsid w:val="000B1DF4"/>
    <w:rsid w:val="000B2273"/>
    <w:rsid w:val="000B2CB8"/>
    <w:rsid w:val="000B38A2"/>
    <w:rsid w:val="000B3AAB"/>
    <w:rsid w:val="000B6534"/>
    <w:rsid w:val="000B6A17"/>
    <w:rsid w:val="000B74ED"/>
    <w:rsid w:val="000B7BDC"/>
    <w:rsid w:val="000C2758"/>
    <w:rsid w:val="000C2D22"/>
    <w:rsid w:val="000C32FA"/>
    <w:rsid w:val="000C42A6"/>
    <w:rsid w:val="000C54B4"/>
    <w:rsid w:val="000C599C"/>
    <w:rsid w:val="000C5BAC"/>
    <w:rsid w:val="000C6F28"/>
    <w:rsid w:val="000C701A"/>
    <w:rsid w:val="000C7973"/>
    <w:rsid w:val="000C79E1"/>
    <w:rsid w:val="000D09E5"/>
    <w:rsid w:val="000D0AD2"/>
    <w:rsid w:val="000D0E9E"/>
    <w:rsid w:val="000D0FEE"/>
    <w:rsid w:val="000D1CD4"/>
    <w:rsid w:val="000D2617"/>
    <w:rsid w:val="000D2A1E"/>
    <w:rsid w:val="000D331C"/>
    <w:rsid w:val="000D3783"/>
    <w:rsid w:val="000D4362"/>
    <w:rsid w:val="000D4A6D"/>
    <w:rsid w:val="000D52DE"/>
    <w:rsid w:val="000D5404"/>
    <w:rsid w:val="000D5DD4"/>
    <w:rsid w:val="000D5F1B"/>
    <w:rsid w:val="000D665C"/>
    <w:rsid w:val="000D79FD"/>
    <w:rsid w:val="000E165B"/>
    <w:rsid w:val="000E52C5"/>
    <w:rsid w:val="000E594F"/>
    <w:rsid w:val="000E617C"/>
    <w:rsid w:val="000E772C"/>
    <w:rsid w:val="000E7969"/>
    <w:rsid w:val="000E7F66"/>
    <w:rsid w:val="000F09ED"/>
    <w:rsid w:val="000F1046"/>
    <w:rsid w:val="000F1866"/>
    <w:rsid w:val="000F201B"/>
    <w:rsid w:val="000F212B"/>
    <w:rsid w:val="000F4CCF"/>
    <w:rsid w:val="000F5471"/>
    <w:rsid w:val="000F62ED"/>
    <w:rsid w:val="000F66CA"/>
    <w:rsid w:val="000F6965"/>
    <w:rsid w:val="000F714C"/>
    <w:rsid w:val="000F749F"/>
    <w:rsid w:val="000F7511"/>
    <w:rsid w:val="001001C1"/>
    <w:rsid w:val="00100B7F"/>
    <w:rsid w:val="00100CA3"/>
    <w:rsid w:val="00101650"/>
    <w:rsid w:val="001019A9"/>
    <w:rsid w:val="00102228"/>
    <w:rsid w:val="0010279E"/>
    <w:rsid w:val="001044F7"/>
    <w:rsid w:val="00104F88"/>
    <w:rsid w:val="00105313"/>
    <w:rsid w:val="0010563A"/>
    <w:rsid w:val="00105D74"/>
    <w:rsid w:val="00106B8E"/>
    <w:rsid w:val="00106D2B"/>
    <w:rsid w:val="00107462"/>
    <w:rsid w:val="001103D7"/>
    <w:rsid w:val="00110582"/>
    <w:rsid w:val="00110F5F"/>
    <w:rsid w:val="00111716"/>
    <w:rsid w:val="00113B35"/>
    <w:rsid w:val="00113C16"/>
    <w:rsid w:val="00115CB9"/>
    <w:rsid w:val="001175A3"/>
    <w:rsid w:val="001176D9"/>
    <w:rsid w:val="00117D58"/>
    <w:rsid w:val="0012350D"/>
    <w:rsid w:val="00123BC2"/>
    <w:rsid w:val="001245F7"/>
    <w:rsid w:val="00124E3B"/>
    <w:rsid w:val="001258A2"/>
    <w:rsid w:val="00125AC1"/>
    <w:rsid w:val="00127065"/>
    <w:rsid w:val="00127E0B"/>
    <w:rsid w:val="0013054A"/>
    <w:rsid w:val="00130A2B"/>
    <w:rsid w:val="00132183"/>
    <w:rsid w:val="001324A6"/>
    <w:rsid w:val="0013275F"/>
    <w:rsid w:val="001332AB"/>
    <w:rsid w:val="00134D0C"/>
    <w:rsid w:val="001351B4"/>
    <w:rsid w:val="00136149"/>
    <w:rsid w:val="0013670B"/>
    <w:rsid w:val="00136879"/>
    <w:rsid w:val="00136E27"/>
    <w:rsid w:val="001400E6"/>
    <w:rsid w:val="001404B3"/>
    <w:rsid w:val="001409CF"/>
    <w:rsid w:val="00141B4D"/>
    <w:rsid w:val="00142388"/>
    <w:rsid w:val="001433C6"/>
    <w:rsid w:val="00143EEA"/>
    <w:rsid w:val="0014557E"/>
    <w:rsid w:val="00147180"/>
    <w:rsid w:val="00147829"/>
    <w:rsid w:val="00147B87"/>
    <w:rsid w:val="00147E56"/>
    <w:rsid w:val="00150342"/>
    <w:rsid w:val="00150953"/>
    <w:rsid w:val="0015154D"/>
    <w:rsid w:val="00151AE5"/>
    <w:rsid w:val="00152420"/>
    <w:rsid w:val="00153D5A"/>
    <w:rsid w:val="0015473F"/>
    <w:rsid w:val="00154CE9"/>
    <w:rsid w:val="001552CE"/>
    <w:rsid w:val="001553D5"/>
    <w:rsid w:val="00155693"/>
    <w:rsid w:val="001559AA"/>
    <w:rsid w:val="001560E5"/>
    <w:rsid w:val="0015643F"/>
    <w:rsid w:val="001565ED"/>
    <w:rsid w:val="001571CB"/>
    <w:rsid w:val="00160290"/>
    <w:rsid w:val="00162084"/>
    <w:rsid w:val="001621CA"/>
    <w:rsid w:val="001629AB"/>
    <w:rsid w:val="00162CD9"/>
    <w:rsid w:val="0016428B"/>
    <w:rsid w:val="00164CF5"/>
    <w:rsid w:val="00165C8A"/>
    <w:rsid w:val="00166879"/>
    <w:rsid w:val="00171417"/>
    <w:rsid w:val="00175434"/>
    <w:rsid w:val="00176B2A"/>
    <w:rsid w:val="00176B35"/>
    <w:rsid w:val="0017761A"/>
    <w:rsid w:val="001778B9"/>
    <w:rsid w:val="00177D4D"/>
    <w:rsid w:val="0018084E"/>
    <w:rsid w:val="00180B43"/>
    <w:rsid w:val="00180D0C"/>
    <w:rsid w:val="00180FEC"/>
    <w:rsid w:val="001810D6"/>
    <w:rsid w:val="00181F05"/>
    <w:rsid w:val="001829F1"/>
    <w:rsid w:val="00183AD7"/>
    <w:rsid w:val="001841B3"/>
    <w:rsid w:val="00184C65"/>
    <w:rsid w:val="00185772"/>
    <w:rsid w:val="001857D0"/>
    <w:rsid w:val="00186652"/>
    <w:rsid w:val="0018684B"/>
    <w:rsid w:val="00186CB2"/>
    <w:rsid w:val="00187A3C"/>
    <w:rsid w:val="00190323"/>
    <w:rsid w:val="00190EC1"/>
    <w:rsid w:val="00191E41"/>
    <w:rsid w:val="001924E5"/>
    <w:rsid w:val="0019389F"/>
    <w:rsid w:val="00195210"/>
    <w:rsid w:val="00195D6C"/>
    <w:rsid w:val="00196709"/>
    <w:rsid w:val="00196CD1"/>
    <w:rsid w:val="00197A19"/>
    <w:rsid w:val="001A02CD"/>
    <w:rsid w:val="001A0A5C"/>
    <w:rsid w:val="001A0E5D"/>
    <w:rsid w:val="001A1511"/>
    <w:rsid w:val="001A27BD"/>
    <w:rsid w:val="001A2B84"/>
    <w:rsid w:val="001A4420"/>
    <w:rsid w:val="001A4688"/>
    <w:rsid w:val="001A5555"/>
    <w:rsid w:val="001A55E0"/>
    <w:rsid w:val="001A6554"/>
    <w:rsid w:val="001A669C"/>
    <w:rsid w:val="001A6E9F"/>
    <w:rsid w:val="001A7F8D"/>
    <w:rsid w:val="001B1045"/>
    <w:rsid w:val="001B12F8"/>
    <w:rsid w:val="001B1788"/>
    <w:rsid w:val="001B2318"/>
    <w:rsid w:val="001B27E0"/>
    <w:rsid w:val="001B38AD"/>
    <w:rsid w:val="001B3FB5"/>
    <w:rsid w:val="001B52FC"/>
    <w:rsid w:val="001B55F8"/>
    <w:rsid w:val="001B59FC"/>
    <w:rsid w:val="001B5AAE"/>
    <w:rsid w:val="001C08CE"/>
    <w:rsid w:val="001C18F8"/>
    <w:rsid w:val="001C2A18"/>
    <w:rsid w:val="001C3DB8"/>
    <w:rsid w:val="001C463A"/>
    <w:rsid w:val="001C504F"/>
    <w:rsid w:val="001D00B6"/>
    <w:rsid w:val="001D0914"/>
    <w:rsid w:val="001D0E94"/>
    <w:rsid w:val="001D2235"/>
    <w:rsid w:val="001D276A"/>
    <w:rsid w:val="001D3A29"/>
    <w:rsid w:val="001D483A"/>
    <w:rsid w:val="001D4CDC"/>
    <w:rsid w:val="001D52A1"/>
    <w:rsid w:val="001D5387"/>
    <w:rsid w:val="001D756F"/>
    <w:rsid w:val="001E04F8"/>
    <w:rsid w:val="001E05AA"/>
    <w:rsid w:val="001E13A0"/>
    <w:rsid w:val="001E341F"/>
    <w:rsid w:val="001E390C"/>
    <w:rsid w:val="001E3A7D"/>
    <w:rsid w:val="001E4092"/>
    <w:rsid w:val="001E4C06"/>
    <w:rsid w:val="001E59A8"/>
    <w:rsid w:val="001E5A06"/>
    <w:rsid w:val="001E617C"/>
    <w:rsid w:val="001E6349"/>
    <w:rsid w:val="001E7914"/>
    <w:rsid w:val="001F0CC6"/>
    <w:rsid w:val="001F13EF"/>
    <w:rsid w:val="001F2976"/>
    <w:rsid w:val="001F2F7E"/>
    <w:rsid w:val="001F301A"/>
    <w:rsid w:val="001F30E5"/>
    <w:rsid w:val="001F34E7"/>
    <w:rsid w:val="001F501D"/>
    <w:rsid w:val="001F50E3"/>
    <w:rsid w:val="001F524F"/>
    <w:rsid w:val="001F5DD1"/>
    <w:rsid w:val="001F743A"/>
    <w:rsid w:val="001F7CA9"/>
    <w:rsid w:val="002004B6"/>
    <w:rsid w:val="00200B14"/>
    <w:rsid w:val="00200B18"/>
    <w:rsid w:val="00201201"/>
    <w:rsid w:val="00201846"/>
    <w:rsid w:val="00201AD9"/>
    <w:rsid w:val="002043E7"/>
    <w:rsid w:val="00204C03"/>
    <w:rsid w:val="00205684"/>
    <w:rsid w:val="00205BD1"/>
    <w:rsid w:val="00205EC5"/>
    <w:rsid w:val="00206432"/>
    <w:rsid w:val="00207111"/>
    <w:rsid w:val="00207146"/>
    <w:rsid w:val="00210AEE"/>
    <w:rsid w:val="0021127A"/>
    <w:rsid w:val="0021190F"/>
    <w:rsid w:val="0021219B"/>
    <w:rsid w:val="002124DD"/>
    <w:rsid w:val="0021279F"/>
    <w:rsid w:val="00212E99"/>
    <w:rsid w:val="00213162"/>
    <w:rsid w:val="002133EA"/>
    <w:rsid w:val="00213453"/>
    <w:rsid w:val="00213E0F"/>
    <w:rsid w:val="002146C5"/>
    <w:rsid w:val="002148D0"/>
    <w:rsid w:val="00215D80"/>
    <w:rsid w:val="00215DF7"/>
    <w:rsid w:val="00216267"/>
    <w:rsid w:val="002171E2"/>
    <w:rsid w:val="0021736F"/>
    <w:rsid w:val="0021740E"/>
    <w:rsid w:val="00222389"/>
    <w:rsid w:val="002226E8"/>
    <w:rsid w:val="00223BC4"/>
    <w:rsid w:val="00224C7D"/>
    <w:rsid w:val="002276E0"/>
    <w:rsid w:val="00227E32"/>
    <w:rsid w:val="002301B1"/>
    <w:rsid w:val="002303FF"/>
    <w:rsid w:val="00230822"/>
    <w:rsid w:val="00232381"/>
    <w:rsid w:val="00232641"/>
    <w:rsid w:val="00232BD2"/>
    <w:rsid w:val="00232EAF"/>
    <w:rsid w:val="00232FFE"/>
    <w:rsid w:val="002332E8"/>
    <w:rsid w:val="00233C8E"/>
    <w:rsid w:val="00234990"/>
    <w:rsid w:val="00234B08"/>
    <w:rsid w:val="00235E95"/>
    <w:rsid w:val="00235F0A"/>
    <w:rsid w:val="0023657D"/>
    <w:rsid w:val="0023692E"/>
    <w:rsid w:val="00240406"/>
    <w:rsid w:val="0024051F"/>
    <w:rsid w:val="00243001"/>
    <w:rsid w:val="00243331"/>
    <w:rsid w:val="002433D6"/>
    <w:rsid w:val="002439C2"/>
    <w:rsid w:val="0024402E"/>
    <w:rsid w:val="00245DE5"/>
    <w:rsid w:val="00245DFE"/>
    <w:rsid w:val="00246BDC"/>
    <w:rsid w:val="00246C69"/>
    <w:rsid w:val="00246E71"/>
    <w:rsid w:val="002470FD"/>
    <w:rsid w:val="002500DE"/>
    <w:rsid w:val="002504B6"/>
    <w:rsid w:val="0025058B"/>
    <w:rsid w:val="00250FD5"/>
    <w:rsid w:val="00251BA5"/>
    <w:rsid w:val="00252CE5"/>
    <w:rsid w:val="00252E3F"/>
    <w:rsid w:val="002530FE"/>
    <w:rsid w:val="002551B2"/>
    <w:rsid w:val="00255463"/>
    <w:rsid w:val="00255822"/>
    <w:rsid w:val="00257475"/>
    <w:rsid w:val="00261861"/>
    <w:rsid w:val="00261E79"/>
    <w:rsid w:val="00262CAF"/>
    <w:rsid w:val="00263002"/>
    <w:rsid w:val="00263930"/>
    <w:rsid w:val="00263CE0"/>
    <w:rsid w:val="00264111"/>
    <w:rsid w:val="00264CCE"/>
    <w:rsid w:val="00264D74"/>
    <w:rsid w:val="002650D4"/>
    <w:rsid w:val="00265750"/>
    <w:rsid w:val="00265C64"/>
    <w:rsid w:val="00266BC7"/>
    <w:rsid w:val="00267078"/>
    <w:rsid w:val="0026742F"/>
    <w:rsid w:val="00267A2A"/>
    <w:rsid w:val="002704CA"/>
    <w:rsid w:val="002718DF"/>
    <w:rsid w:val="00271F71"/>
    <w:rsid w:val="0027200A"/>
    <w:rsid w:val="002724F2"/>
    <w:rsid w:val="0027420A"/>
    <w:rsid w:val="00274EFD"/>
    <w:rsid w:val="00275138"/>
    <w:rsid w:val="00275390"/>
    <w:rsid w:val="002757C8"/>
    <w:rsid w:val="00277305"/>
    <w:rsid w:val="00277444"/>
    <w:rsid w:val="0027789E"/>
    <w:rsid w:val="002813D7"/>
    <w:rsid w:val="00281C04"/>
    <w:rsid w:val="0028207C"/>
    <w:rsid w:val="002821B5"/>
    <w:rsid w:val="0028287C"/>
    <w:rsid w:val="0028332C"/>
    <w:rsid w:val="00283EDE"/>
    <w:rsid w:val="00284746"/>
    <w:rsid w:val="00284794"/>
    <w:rsid w:val="0028631F"/>
    <w:rsid w:val="0028680E"/>
    <w:rsid w:val="00286C13"/>
    <w:rsid w:val="00286EE4"/>
    <w:rsid w:val="002872BF"/>
    <w:rsid w:val="00287894"/>
    <w:rsid w:val="00287D48"/>
    <w:rsid w:val="002903B8"/>
    <w:rsid w:val="00290500"/>
    <w:rsid w:val="0029161C"/>
    <w:rsid w:val="002918FC"/>
    <w:rsid w:val="00291A11"/>
    <w:rsid w:val="00293A42"/>
    <w:rsid w:val="00293B28"/>
    <w:rsid w:val="002940A8"/>
    <w:rsid w:val="002941C4"/>
    <w:rsid w:val="00294575"/>
    <w:rsid w:val="002948E3"/>
    <w:rsid w:val="00295F23"/>
    <w:rsid w:val="00297B1A"/>
    <w:rsid w:val="00297BED"/>
    <w:rsid w:val="00297FF0"/>
    <w:rsid w:val="002A0167"/>
    <w:rsid w:val="002A09DD"/>
    <w:rsid w:val="002A0EBF"/>
    <w:rsid w:val="002A153B"/>
    <w:rsid w:val="002A1751"/>
    <w:rsid w:val="002A1942"/>
    <w:rsid w:val="002A1EC2"/>
    <w:rsid w:val="002A4701"/>
    <w:rsid w:val="002A48CE"/>
    <w:rsid w:val="002A5F2D"/>
    <w:rsid w:val="002A5F6E"/>
    <w:rsid w:val="002A6D93"/>
    <w:rsid w:val="002A6EB1"/>
    <w:rsid w:val="002A7049"/>
    <w:rsid w:val="002A7B9F"/>
    <w:rsid w:val="002B036F"/>
    <w:rsid w:val="002B0BD7"/>
    <w:rsid w:val="002B0E05"/>
    <w:rsid w:val="002B1EDB"/>
    <w:rsid w:val="002B24DF"/>
    <w:rsid w:val="002B26F1"/>
    <w:rsid w:val="002B2B1B"/>
    <w:rsid w:val="002B3100"/>
    <w:rsid w:val="002B392B"/>
    <w:rsid w:val="002B3D78"/>
    <w:rsid w:val="002B3E60"/>
    <w:rsid w:val="002B3EEB"/>
    <w:rsid w:val="002B55E4"/>
    <w:rsid w:val="002B63FF"/>
    <w:rsid w:val="002C0DCC"/>
    <w:rsid w:val="002C4C49"/>
    <w:rsid w:val="002C4C6D"/>
    <w:rsid w:val="002C4DA7"/>
    <w:rsid w:val="002C5033"/>
    <w:rsid w:val="002C57F3"/>
    <w:rsid w:val="002C58E8"/>
    <w:rsid w:val="002C6139"/>
    <w:rsid w:val="002C681C"/>
    <w:rsid w:val="002C7ECA"/>
    <w:rsid w:val="002CCDDE"/>
    <w:rsid w:val="002D115E"/>
    <w:rsid w:val="002D1273"/>
    <w:rsid w:val="002D17E9"/>
    <w:rsid w:val="002D30D4"/>
    <w:rsid w:val="002D38A9"/>
    <w:rsid w:val="002D39CB"/>
    <w:rsid w:val="002D5157"/>
    <w:rsid w:val="002D5B1E"/>
    <w:rsid w:val="002D5E85"/>
    <w:rsid w:val="002D6D9F"/>
    <w:rsid w:val="002D76E6"/>
    <w:rsid w:val="002E0B4E"/>
    <w:rsid w:val="002E0CDA"/>
    <w:rsid w:val="002E1560"/>
    <w:rsid w:val="002E2370"/>
    <w:rsid w:val="002E2C88"/>
    <w:rsid w:val="002E369F"/>
    <w:rsid w:val="002E3B8F"/>
    <w:rsid w:val="002E447E"/>
    <w:rsid w:val="002E45FF"/>
    <w:rsid w:val="002E50FE"/>
    <w:rsid w:val="002E53AF"/>
    <w:rsid w:val="002E57DE"/>
    <w:rsid w:val="002E66AE"/>
    <w:rsid w:val="002E6AF3"/>
    <w:rsid w:val="002E6F04"/>
    <w:rsid w:val="002E72FD"/>
    <w:rsid w:val="002E7EF3"/>
    <w:rsid w:val="002F0B5E"/>
    <w:rsid w:val="002F1B8F"/>
    <w:rsid w:val="002F2C14"/>
    <w:rsid w:val="002F2D9E"/>
    <w:rsid w:val="002F3440"/>
    <w:rsid w:val="002F470B"/>
    <w:rsid w:val="002F5748"/>
    <w:rsid w:val="002F6157"/>
    <w:rsid w:val="002F6B26"/>
    <w:rsid w:val="00300663"/>
    <w:rsid w:val="003015D8"/>
    <w:rsid w:val="00301F7A"/>
    <w:rsid w:val="003022EB"/>
    <w:rsid w:val="00302880"/>
    <w:rsid w:val="0030313A"/>
    <w:rsid w:val="0030413C"/>
    <w:rsid w:val="00304539"/>
    <w:rsid w:val="00304DC6"/>
    <w:rsid w:val="00304FE5"/>
    <w:rsid w:val="00305805"/>
    <w:rsid w:val="00305C1E"/>
    <w:rsid w:val="00305EE5"/>
    <w:rsid w:val="0030690B"/>
    <w:rsid w:val="003078E7"/>
    <w:rsid w:val="00311F7C"/>
    <w:rsid w:val="0031336F"/>
    <w:rsid w:val="0031464E"/>
    <w:rsid w:val="003147F2"/>
    <w:rsid w:val="00315D46"/>
    <w:rsid w:val="00316D51"/>
    <w:rsid w:val="00317C92"/>
    <w:rsid w:val="00317F1F"/>
    <w:rsid w:val="0032016A"/>
    <w:rsid w:val="0032098E"/>
    <w:rsid w:val="00321220"/>
    <w:rsid w:val="0032134C"/>
    <w:rsid w:val="003219AB"/>
    <w:rsid w:val="0032233C"/>
    <w:rsid w:val="0032271C"/>
    <w:rsid w:val="00323162"/>
    <w:rsid w:val="00323163"/>
    <w:rsid w:val="00323EE9"/>
    <w:rsid w:val="00325710"/>
    <w:rsid w:val="00325BC2"/>
    <w:rsid w:val="00326284"/>
    <w:rsid w:val="00326772"/>
    <w:rsid w:val="00326839"/>
    <w:rsid w:val="00330B44"/>
    <w:rsid w:val="00331C4F"/>
    <w:rsid w:val="00331FA6"/>
    <w:rsid w:val="00333A30"/>
    <w:rsid w:val="00334BA3"/>
    <w:rsid w:val="00335049"/>
    <w:rsid w:val="003352C3"/>
    <w:rsid w:val="00335AEE"/>
    <w:rsid w:val="00337714"/>
    <w:rsid w:val="00337BD8"/>
    <w:rsid w:val="00340A7B"/>
    <w:rsid w:val="00340E18"/>
    <w:rsid w:val="00340E5D"/>
    <w:rsid w:val="00340FEF"/>
    <w:rsid w:val="003411DB"/>
    <w:rsid w:val="00342010"/>
    <w:rsid w:val="00343442"/>
    <w:rsid w:val="00344488"/>
    <w:rsid w:val="00345F9F"/>
    <w:rsid w:val="00346632"/>
    <w:rsid w:val="0034697B"/>
    <w:rsid w:val="00346B56"/>
    <w:rsid w:val="00346CA2"/>
    <w:rsid w:val="003470E1"/>
    <w:rsid w:val="003472CC"/>
    <w:rsid w:val="00347493"/>
    <w:rsid w:val="00347494"/>
    <w:rsid w:val="00350D90"/>
    <w:rsid w:val="00351BD1"/>
    <w:rsid w:val="00352335"/>
    <w:rsid w:val="00352E02"/>
    <w:rsid w:val="00353071"/>
    <w:rsid w:val="00353E4E"/>
    <w:rsid w:val="00354A67"/>
    <w:rsid w:val="00354D18"/>
    <w:rsid w:val="00355EC3"/>
    <w:rsid w:val="00357EC4"/>
    <w:rsid w:val="003600DA"/>
    <w:rsid w:val="0036014C"/>
    <w:rsid w:val="003607E5"/>
    <w:rsid w:val="00362082"/>
    <w:rsid w:val="003623E0"/>
    <w:rsid w:val="00362623"/>
    <w:rsid w:val="00362E42"/>
    <w:rsid w:val="00363F4F"/>
    <w:rsid w:val="00364319"/>
    <w:rsid w:val="00364412"/>
    <w:rsid w:val="00364D66"/>
    <w:rsid w:val="0036559C"/>
    <w:rsid w:val="00365841"/>
    <w:rsid w:val="003661AB"/>
    <w:rsid w:val="0036658C"/>
    <w:rsid w:val="0036660D"/>
    <w:rsid w:val="00366E1D"/>
    <w:rsid w:val="00366E29"/>
    <w:rsid w:val="00367389"/>
    <w:rsid w:val="00367925"/>
    <w:rsid w:val="0037016A"/>
    <w:rsid w:val="00370884"/>
    <w:rsid w:val="003709AE"/>
    <w:rsid w:val="003710A7"/>
    <w:rsid w:val="00371896"/>
    <w:rsid w:val="003723F9"/>
    <w:rsid w:val="00372D85"/>
    <w:rsid w:val="0037319E"/>
    <w:rsid w:val="00373E13"/>
    <w:rsid w:val="00373EF1"/>
    <w:rsid w:val="00374393"/>
    <w:rsid w:val="00374BF0"/>
    <w:rsid w:val="00375F84"/>
    <w:rsid w:val="00376336"/>
    <w:rsid w:val="00380A7E"/>
    <w:rsid w:val="00382051"/>
    <w:rsid w:val="00382A4A"/>
    <w:rsid w:val="003835C1"/>
    <w:rsid w:val="003835DE"/>
    <w:rsid w:val="003837C3"/>
    <w:rsid w:val="00384C19"/>
    <w:rsid w:val="00384F69"/>
    <w:rsid w:val="00385575"/>
    <w:rsid w:val="00385968"/>
    <w:rsid w:val="00385DF1"/>
    <w:rsid w:val="00385EA5"/>
    <w:rsid w:val="0038761D"/>
    <w:rsid w:val="00390608"/>
    <w:rsid w:val="00390DC2"/>
    <w:rsid w:val="00390F8B"/>
    <w:rsid w:val="0039130C"/>
    <w:rsid w:val="00391A90"/>
    <w:rsid w:val="003936A2"/>
    <w:rsid w:val="0039386A"/>
    <w:rsid w:val="00393C01"/>
    <w:rsid w:val="00395569"/>
    <w:rsid w:val="00395823"/>
    <w:rsid w:val="00395D2A"/>
    <w:rsid w:val="003A0D0A"/>
    <w:rsid w:val="003A1029"/>
    <w:rsid w:val="003A1F90"/>
    <w:rsid w:val="003A22B4"/>
    <w:rsid w:val="003A39BE"/>
    <w:rsid w:val="003A693C"/>
    <w:rsid w:val="003A695B"/>
    <w:rsid w:val="003A6B19"/>
    <w:rsid w:val="003A726D"/>
    <w:rsid w:val="003A7303"/>
    <w:rsid w:val="003B00DD"/>
    <w:rsid w:val="003B0DCB"/>
    <w:rsid w:val="003B10C1"/>
    <w:rsid w:val="003B1C04"/>
    <w:rsid w:val="003B297E"/>
    <w:rsid w:val="003B30EC"/>
    <w:rsid w:val="003B5A4B"/>
    <w:rsid w:val="003B61C5"/>
    <w:rsid w:val="003B65E3"/>
    <w:rsid w:val="003B7052"/>
    <w:rsid w:val="003B7B2B"/>
    <w:rsid w:val="003C0C7D"/>
    <w:rsid w:val="003C0DB5"/>
    <w:rsid w:val="003C1CBF"/>
    <w:rsid w:val="003C2115"/>
    <w:rsid w:val="003C6517"/>
    <w:rsid w:val="003D0773"/>
    <w:rsid w:val="003D07FC"/>
    <w:rsid w:val="003D0D48"/>
    <w:rsid w:val="003D137F"/>
    <w:rsid w:val="003D21BC"/>
    <w:rsid w:val="003D270F"/>
    <w:rsid w:val="003D30A7"/>
    <w:rsid w:val="003D31C9"/>
    <w:rsid w:val="003D3D2B"/>
    <w:rsid w:val="003D45B9"/>
    <w:rsid w:val="003D468F"/>
    <w:rsid w:val="003D4A4C"/>
    <w:rsid w:val="003D4E90"/>
    <w:rsid w:val="003D52F1"/>
    <w:rsid w:val="003D562B"/>
    <w:rsid w:val="003D5643"/>
    <w:rsid w:val="003D6836"/>
    <w:rsid w:val="003D791F"/>
    <w:rsid w:val="003E0077"/>
    <w:rsid w:val="003E03FA"/>
    <w:rsid w:val="003E10E7"/>
    <w:rsid w:val="003E2795"/>
    <w:rsid w:val="003E2BAA"/>
    <w:rsid w:val="003E3F3E"/>
    <w:rsid w:val="003E566C"/>
    <w:rsid w:val="003E7815"/>
    <w:rsid w:val="003F1C15"/>
    <w:rsid w:val="003F3691"/>
    <w:rsid w:val="003F395B"/>
    <w:rsid w:val="003F48EE"/>
    <w:rsid w:val="003F51FB"/>
    <w:rsid w:val="003F7CFB"/>
    <w:rsid w:val="004020BA"/>
    <w:rsid w:val="004027A8"/>
    <w:rsid w:val="00402B2D"/>
    <w:rsid w:val="00403092"/>
    <w:rsid w:val="00403AAF"/>
    <w:rsid w:val="004049D9"/>
    <w:rsid w:val="00404ECD"/>
    <w:rsid w:val="00406125"/>
    <w:rsid w:val="00407B83"/>
    <w:rsid w:val="004102E8"/>
    <w:rsid w:val="00411A99"/>
    <w:rsid w:val="004128B3"/>
    <w:rsid w:val="00412BD8"/>
    <w:rsid w:val="004136CA"/>
    <w:rsid w:val="00414C30"/>
    <w:rsid w:val="00415DA9"/>
    <w:rsid w:val="0041631E"/>
    <w:rsid w:val="004165F5"/>
    <w:rsid w:val="00416EC0"/>
    <w:rsid w:val="00416ED1"/>
    <w:rsid w:val="0041794A"/>
    <w:rsid w:val="00421025"/>
    <w:rsid w:val="004211B5"/>
    <w:rsid w:val="00421AA0"/>
    <w:rsid w:val="00421B15"/>
    <w:rsid w:val="00421F3B"/>
    <w:rsid w:val="00422A84"/>
    <w:rsid w:val="004238B1"/>
    <w:rsid w:val="00424466"/>
    <w:rsid w:val="00424570"/>
    <w:rsid w:val="00425211"/>
    <w:rsid w:val="00425239"/>
    <w:rsid w:val="00425C94"/>
    <w:rsid w:val="00425DC8"/>
    <w:rsid w:val="00426379"/>
    <w:rsid w:val="004263DA"/>
    <w:rsid w:val="0042671B"/>
    <w:rsid w:val="00426724"/>
    <w:rsid w:val="00430387"/>
    <w:rsid w:val="00430B06"/>
    <w:rsid w:val="00431455"/>
    <w:rsid w:val="004322E7"/>
    <w:rsid w:val="004326C9"/>
    <w:rsid w:val="00432D5A"/>
    <w:rsid w:val="00433271"/>
    <w:rsid w:val="0043356C"/>
    <w:rsid w:val="0043370C"/>
    <w:rsid w:val="004349D9"/>
    <w:rsid w:val="00435953"/>
    <w:rsid w:val="00436159"/>
    <w:rsid w:val="004362C1"/>
    <w:rsid w:val="0043763B"/>
    <w:rsid w:val="00437DA0"/>
    <w:rsid w:val="00440058"/>
    <w:rsid w:val="00441110"/>
    <w:rsid w:val="00441F74"/>
    <w:rsid w:val="004427BF"/>
    <w:rsid w:val="00443E70"/>
    <w:rsid w:val="00443F12"/>
    <w:rsid w:val="00444353"/>
    <w:rsid w:val="00444437"/>
    <w:rsid w:val="00445478"/>
    <w:rsid w:val="00445528"/>
    <w:rsid w:val="00445D42"/>
    <w:rsid w:val="00446306"/>
    <w:rsid w:val="004463CF"/>
    <w:rsid w:val="0044660C"/>
    <w:rsid w:val="00446A38"/>
    <w:rsid w:val="00446CEF"/>
    <w:rsid w:val="004505C5"/>
    <w:rsid w:val="00450B7B"/>
    <w:rsid w:val="004531FF"/>
    <w:rsid w:val="004534BE"/>
    <w:rsid w:val="0045493C"/>
    <w:rsid w:val="00454978"/>
    <w:rsid w:val="00454B41"/>
    <w:rsid w:val="0045516C"/>
    <w:rsid w:val="004557EF"/>
    <w:rsid w:val="004558B8"/>
    <w:rsid w:val="00455CBE"/>
    <w:rsid w:val="00455CEF"/>
    <w:rsid w:val="00455E46"/>
    <w:rsid w:val="0045647C"/>
    <w:rsid w:val="00457877"/>
    <w:rsid w:val="0045793E"/>
    <w:rsid w:val="00457AF1"/>
    <w:rsid w:val="00461316"/>
    <w:rsid w:val="00461738"/>
    <w:rsid w:val="00461B26"/>
    <w:rsid w:val="0046340E"/>
    <w:rsid w:val="00464B82"/>
    <w:rsid w:val="00464BD2"/>
    <w:rsid w:val="00464C52"/>
    <w:rsid w:val="00465ACA"/>
    <w:rsid w:val="00466F9B"/>
    <w:rsid w:val="00466FB8"/>
    <w:rsid w:val="004671D5"/>
    <w:rsid w:val="00467251"/>
    <w:rsid w:val="00467A82"/>
    <w:rsid w:val="0047032A"/>
    <w:rsid w:val="00470FAC"/>
    <w:rsid w:val="004713AB"/>
    <w:rsid w:val="00471BC0"/>
    <w:rsid w:val="00472284"/>
    <w:rsid w:val="004723C7"/>
    <w:rsid w:val="00475913"/>
    <w:rsid w:val="00475CC8"/>
    <w:rsid w:val="0047651D"/>
    <w:rsid w:val="00477701"/>
    <w:rsid w:val="00477ACA"/>
    <w:rsid w:val="00480EB3"/>
    <w:rsid w:val="004816C0"/>
    <w:rsid w:val="0048170D"/>
    <w:rsid w:val="00481A5D"/>
    <w:rsid w:val="00482F1E"/>
    <w:rsid w:val="004854F3"/>
    <w:rsid w:val="00485693"/>
    <w:rsid w:val="004859EE"/>
    <w:rsid w:val="004873C1"/>
    <w:rsid w:val="004873CD"/>
    <w:rsid w:val="004879DF"/>
    <w:rsid w:val="00491755"/>
    <w:rsid w:val="00492431"/>
    <w:rsid w:val="00492C73"/>
    <w:rsid w:val="00492E7B"/>
    <w:rsid w:val="00492EA7"/>
    <w:rsid w:val="004938E9"/>
    <w:rsid w:val="004948A4"/>
    <w:rsid w:val="0049542F"/>
    <w:rsid w:val="004955EF"/>
    <w:rsid w:val="004959FF"/>
    <w:rsid w:val="00496E66"/>
    <w:rsid w:val="00496EB3"/>
    <w:rsid w:val="004971DD"/>
    <w:rsid w:val="00497247"/>
    <w:rsid w:val="004975C1"/>
    <w:rsid w:val="00497A5A"/>
    <w:rsid w:val="00497DBB"/>
    <w:rsid w:val="004A2038"/>
    <w:rsid w:val="004A2419"/>
    <w:rsid w:val="004A2BE7"/>
    <w:rsid w:val="004A3D24"/>
    <w:rsid w:val="004A4E2A"/>
    <w:rsid w:val="004A57F9"/>
    <w:rsid w:val="004A61BA"/>
    <w:rsid w:val="004A72DF"/>
    <w:rsid w:val="004A7AB9"/>
    <w:rsid w:val="004B1F16"/>
    <w:rsid w:val="004B2A12"/>
    <w:rsid w:val="004B2B1F"/>
    <w:rsid w:val="004B2F06"/>
    <w:rsid w:val="004B4EA4"/>
    <w:rsid w:val="004B5A2A"/>
    <w:rsid w:val="004B62C6"/>
    <w:rsid w:val="004C0419"/>
    <w:rsid w:val="004C0AA9"/>
    <w:rsid w:val="004C0AE9"/>
    <w:rsid w:val="004C190A"/>
    <w:rsid w:val="004C23A8"/>
    <w:rsid w:val="004C31F7"/>
    <w:rsid w:val="004C3CFC"/>
    <w:rsid w:val="004C46A5"/>
    <w:rsid w:val="004C4831"/>
    <w:rsid w:val="004C58F6"/>
    <w:rsid w:val="004C6045"/>
    <w:rsid w:val="004C6B0D"/>
    <w:rsid w:val="004C6B9B"/>
    <w:rsid w:val="004C6EBA"/>
    <w:rsid w:val="004C70F4"/>
    <w:rsid w:val="004C78CF"/>
    <w:rsid w:val="004C7B7A"/>
    <w:rsid w:val="004D032D"/>
    <w:rsid w:val="004D0692"/>
    <w:rsid w:val="004D1894"/>
    <w:rsid w:val="004D1B00"/>
    <w:rsid w:val="004D202D"/>
    <w:rsid w:val="004D2131"/>
    <w:rsid w:val="004D395B"/>
    <w:rsid w:val="004D6977"/>
    <w:rsid w:val="004D7125"/>
    <w:rsid w:val="004D7FEC"/>
    <w:rsid w:val="004E016E"/>
    <w:rsid w:val="004E0238"/>
    <w:rsid w:val="004E02EF"/>
    <w:rsid w:val="004E04D8"/>
    <w:rsid w:val="004E1B6A"/>
    <w:rsid w:val="004E3CC8"/>
    <w:rsid w:val="004E7D42"/>
    <w:rsid w:val="004F065B"/>
    <w:rsid w:val="004F0D36"/>
    <w:rsid w:val="004F16D5"/>
    <w:rsid w:val="004F1879"/>
    <w:rsid w:val="004F1E27"/>
    <w:rsid w:val="004F20FB"/>
    <w:rsid w:val="004F286F"/>
    <w:rsid w:val="004F28FB"/>
    <w:rsid w:val="004F2952"/>
    <w:rsid w:val="004F3DDA"/>
    <w:rsid w:val="004F3EB8"/>
    <w:rsid w:val="004F60BD"/>
    <w:rsid w:val="004F6601"/>
    <w:rsid w:val="004F6B9D"/>
    <w:rsid w:val="004F6E6A"/>
    <w:rsid w:val="005027F2"/>
    <w:rsid w:val="00503775"/>
    <w:rsid w:val="00504002"/>
    <w:rsid w:val="00506143"/>
    <w:rsid w:val="00506C9D"/>
    <w:rsid w:val="005103ED"/>
    <w:rsid w:val="00510474"/>
    <w:rsid w:val="0051105F"/>
    <w:rsid w:val="00513AA3"/>
    <w:rsid w:val="00513FEF"/>
    <w:rsid w:val="0051490B"/>
    <w:rsid w:val="0051504A"/>
    <w:rsid w:val="00516486"/>
    <w:rsid w:val="005166E6"/>
    <w:rsid w:val="00516B50"/>
    <w:rsid w:val="00516B55"/>
    <w:rsid w:val="00516F8A"/>
    <w:rsid w:val="00516F96"/>
    <w:rsid w:val="00517456"/>
    <w:rsid w:val="0051745D"/>
    <w:rsid w:val="00517689"/>
    <w:rsid w:val="00517713"/>
    <w:rsid w:val="0052044A"/>
    <w:rsid w:val="00520D3F"/>
    <w:rsid w:val="0052111E"/>
    <w:rsid w:val="005217EF"/>
    <w:rsid w:val="0052183A"/>
    <w:rsid w:val="005226A2"/>
    <w:rsid w:val="00522C9F"/>
    <w:rsid w:val="00523D22"/>
    <w:rsid w:val="00525085"/>
    <w:rsid w:val="005256C6"/>
    <w:rsid w:val="005266BC"/>
    <w:rsid w:val="00527705"/>
    <w:rsid w:val="00527F0F"/>
    <w:rsid w:val="0053062C"/>
    <w:rsid w:val="0053104E"/>
    <w:rsid w:val="00531751"/>
    <w:rsid w:val="00531BC2"/>
    <w:rsid w:val="005343A8"/>
    <w:rsid w:val="00534C52"/>
    <w:rsid w:val="00535540"/>
    <w:rsid w:val="005355A3"/>
    <w:rsid w:val="00540009"/>
    <w:rsid w:val="00540BFD"/>
    <w:rsid w:val="00540E2D"/>
    <w:rsid w:val="00542A77"/>
    <w:rsid w:val="0054335C"/>
    <w:rsid w:val="005436C0"/>
    <w:rsid w:val="00543B78"/>
    <w:rsid w:val="00543F5C"/>
    <w:rsid w:val="00543FDF"/>
    <w:rsid w:val="00545357"/>
    <w:rsid w:val="005463CB"/>
    <w:rsid w:val="00550884"/>
    <w:rsid w:val="00550B1B"/>
    <w:rsid w:val="0055107F"/>
    <w:rsid w:val="00551867"/>
    <w:rsid w:val="00551C11"/>
    <w:rsid w:val="00551CAE"/>
    <w:rsid w:val="00551FA4"/>
    <w:rsid w:val="00553535"/>
    <w:rsid w:val="00555230"/>
    <w:rsid w:val="00556511"/>
    <w:rsid w:val="00556609"/>
    <w:rsid w:val="00556D68"/>
    <w:rsid w:val="0055783D"/>
    <w:rsid w:val="00557B79"/>
    <w:rsid w:val="00557F89"/>
    <w:rsid w:val="00560826"/>
    <w:rsid w:val="005637AE"/>
    <w:rsid w:val="00563CB9"/>
    <w:rsid w:val="00565DB9"/>
    <w:rsid w:val="00567109"/>
    <w:rsid w:val="00570132"/>
    <w:rsid w:val="005708FD"/>
    <w:rsid w:val="00570962"/>
    <w:rsid w:val="00571621"/>
    <w:rsid w:val="00571F41"/>
    <w:rsid w:val="00576B0C"/>
    <w:rsid w:val="00576C44"/>
    <w:rsid w:val="005773F3"/>
    <w:rsid w:val="00577744"/>
    <w:rsid w:val="0058026B"/>
    <w:rsid w:val="00580E42"/>
    <w:rsid w:val="005813A3"/>
    <w:rsid w:val="00581FC9"/>
    <w:rsid w:val="00582EA6"/>
    <w:rsid w:val="00582F40"/>
    <w:rsid w:val="005832EF"/>
    <w:rsid w:val="005848FF"/>
    <w:rsid w:val="00584920"/>
    <w:rsid w:val="00584BBF"/>
    <w:rsid w:val="00585A45"/>
    <w:rsid w:val="005866C0"/>
    <w:rsid w:val="005874F1"/>
    <w:rsid w:val="0059187D"/>
    <w:rsid w:val="00591DB5"/>
    <w:rsid w:val="00593716"/>
    <w:rsid w:val="005940F0"/>
    <w:rsid w:val="00594902"/>
    <w:rsid w:val="00595455"/>
    <w:rsid w:val="0059727E"/>
    <w:rsid w:val="0059780A"/>
    <w:rsid w:val="00597B36"/>
    <w:rsid w:val="00597E7B"/>
    <w:rsid w:val="005A20FD"/>
    <w:rsid w:val="005A24AD"/>
    <w:rsid w:val="005A3732"/>
    <w:rsid w:val="005A3F9E"/>
    <w:rsid w:val="005A4184"/>
    <w:rsid w:val="005A440E"/>
    <w:rsid w:val="005A4662"/>
    <w:rsid w:val="005A51DF"/>
    <w:rsid w:val="005A5EFD"/>
    <w:rsid w:val="005A7130"/>
    <w:rsid w:val="005A7579"/>
    <w:rsid w:val="005A7FDB"/>
    <w:rsid w:val="005B013F"/>
    <w:rsid w:val="005B0E67"/>
    <w:rsid w:val="005B1493"/>
    <w:rsid w:val="005B1806"/>
    <w:rsid w:val="005B3858"/>
    <w:rsid w:val="005B3EEF"/>
    <w:rsid w:val="005B4DC8"/>
    <w:rsid w:val="005B505E"/>
    <w:rsid w:val="005B6268"/>
    <w:rsid w:val="005B6AA1"/>
    <w:rsid w:val="005B6FCC"/>
    <w:rsid w:val="005B7879"/>
    <w:rsid w:val="005B7C33"/>
    <w:rsid w:val="005C035D"/>
    <w:rsid w:val="005C0762"/>
    <w:rsid w:val="005C1C14"/>
    <w:rsid w:val="005C2BCA"/>
    <w:rsid w:val="005C342E"/>
    <w:rsid w:val="005C362E"/>
    <w:rsid w:val="005C379C"/>
    <w:rsid w:val="005C3A89"/>
    <w:rsid w:val="005C3EC2"/>
    <w:rsid w:val="005C459A"/>
    <w:rsid w:val="005C4915"/>
    <w:rsid w:val="005C4CA7"/>
    <w:rsid w:val="005C4D0C"/>
    <w:rsid w:val="005C604C"/>
    <w:rsid w:val="005C64B6"/>
    <w:rsid w:val="005C67AF"/>
    <w:rsid w:val="005C6F5C"/>
    <w:rsid w:val="005C70A3"/>
    <w:rsid w:val="005C7931"/>
    <w:rsid w:val="005D0121"/>
    <w:rsid w:val="005D0C48"/>
    <w:rsid w:val="005D0F20"/>
    <w:rsid w:val="005D2577"/>
    <w:rsid w:val="005D26D6"/>
    <w:rsid w:val="005D2A9D"/>
    <w:rsid w:val="005D3A54"/>
    <w:rsid w:val="005D45D4"/>
    <w:rsid w:val="005D4698"/>
    <w:rsid w:val="005D5C7B"/>
    <w:rsid w:val="005D5F16"/>
    <w:rsid w:val="005D6E67"/>
    <w:rsid w:val="005E048D"/>
    <w:rsid w:val="005E0659"/>
    <w:rsid w:val="005E0A21"/>
    <w:rsid w:val="005E0C38"/>
    <w:rsid w:val="005E1AF2"/>
    <w:rsid w:val="005E270A"/>
    <w:rsid w:val="005E3453"/>
    <w:rsid w:val="005E44F6"/>
    <w:rsid w:val="005E4C08"/>
    <w:rsid w:val="005E59E3"/>
    <w:rsid w:val="005E5D4A"/>
    <w:rsid w:val="005E5D69"/>
    <w:rsid w:val="005E606A"/>
    <w:rsid w:val="005E636D"/>
    <w:rsid w:val="005E70CF"/>
    <w:rsid w:val="005E7FE4"/>
    <w:rsid w:val="005F12C3"/>
    <w:rsid w:val="005F17CC"/>
    <w:rsid w:val="005F1DDA"/>
    <w:rsid w:val="005F2564"/>
    <w:rsid w:val="005F27F6"/>
    <w:rsid w:val="005F2E6C"/>
    <w:rsid w:val="005F37C9"/>
    <w:rsid w:val="005F4CAA"/>
    <w:rsid w:val="005F4E64"/>
    <w:rsid w:val="005F4F81"/>
    <w:rsid w:val="005F6166"/>
    <w:rsid w:val="005F637D"/>
    <w:rsid w:val="005F7212"/>
    <w:rsid w:val="005F7E14"/>
    <w:rsid w:val="0060041A"/>
    <w:rsid w:val="00600747"/>
    <w:rsid w:val="00600CCE"/>
    <w:rsid w:val="00600CE3"/>
    <w:rsid w:val="00601404"/>
    <w:rsid w:val="00601FAF"/>
    <w:rsid w:val="006021E5"/>
    <w:rsid w:val="0060485F"/>
    <w:rsid w:val="00604B29"/>
    <w:rsid w:val="00604CD6"/>
    <w:rsid w:val="00605863"/>
    <w:rsid w:val="00606966"/>
    <w:rsid w:val="00610E90"/>
    <w:rsid w:val="00612A0F"/>
    <w:rsid w:val="00614354"/>
    <w:rsid w:val="006153EB"/>
    <w:rsid w:val="00615970"/>
    <w:rsid w:val="00616618"/>
    <w:rsid w:val="00616E4D"/>
    <w:rsid w:val="00621A15"/>
    <w:rsid w:val="00622089"/>
    <w:rsid w:val="00622314"/>
    <w:rsid w:val="00622737"/>
    <w:rsid w:val="00623DDD"/>
    <w:rsid w:val="00623F6E"/>
    <w:rsid w:val="0062408C"/>
    <w:rsid w:val="006241FA"/>
    <w:rsid w:val="00625EF7"/>
    <w:rsid w:val="00626AA0"/>
    <w:rsid w:val="006304CA"/>
    <w:rsid w:val="00630BD1"/>
    <w:rsid w:val="00630E34"/>
    <w:rsid w:val="00631274"/>
    <w:rsid w:val="006316D8"/>
    <w:rsid w:val="00631D1C"/>
    <w:rsid w:val="00631F8F"/>
    <w:rsid w:val="00632B8D"/>
    <w:rsid w:val="006337E2"/>
    <w:rsid w:val="00634C65"/>
    <w:rsid w:val="00635529"/>
    <w:rsid w:val="00635886"/>
    <w:rsid w:val="006358FC"/>
    <w:rsid w:val="0063664B"/>
    <w:rsid w:val="00636864"/>
    <w:rsid w:val="00636B3A"/>
    <w:rsid w:val="00637548"/>
    <w:rsid w:val="00637FED"/>
    <w:rsid w:val="00640578"/>
    <w:rsid w:val="006405A3"/>
    <w:rsid w:val="00641409"/>
    <w:rsid w:val="00641906"/>
    <w:rsid w:val="00641AB4"/>
    <w:rsid w:val="00641EE8"/>
    <w:rsid w:val="006426E8"/>
    <w:rsid w:val="0064378D"/>
    <w:rsid w:val="00643AAA"/>
    <w:rsid w:val="00643C31"/>
    <w:rsid w:val="00643D46"/>
    <w:rsid w:val="00644A47"/>
    <w:rsid w:val="006474AD"/>
    <w:rsid w:val="00650600"/>
    <w:rsid w:val="00651F8B"/>
    <w:rsid w:val="0065244A"/>
    <w:rsid w:val="00652BBC"/>
    <w:rsid w:val="0065325D"/>
    <w:rsid w:val="00654B4A"/>
    <w:rsid w:val="00654EAF"/>
    <w:rsid w:val="00655148"/>
    <w:rsid w:val="0065571E"/>
    <w:rsid w:val="00656216"/>
    <w:rsid w:val="006563CE"/>
    <w:rsid w:val="00656DCB"/>
    <w:rsid w:val="00657D43"/>
    <w:rsid w:val="0066121A"/>
    <w:rsid w:val="006625F2"/>
    <w:rsid w:val="00662A32"/>
    <w:rsid w:val="006636E1"/>
    <w:rsid w:val="006648A6"/>
    <w:rsid w:val="00664902"/>
    <w:rsid w:val="00666C39"/>
    <w:rsid w:val="00667D2F"/>
    <w:rsid w:val="006702FA"/>
    <w:rsid w:val="00670A14"/>
    <w:rsid w:val="00670DD0"/>
    <w:rsid w:val="00670E57"/>
    <w:rsid w:val="00671B7B"/>
    <w:rsid w:val="006728A7"/>
    <w:rsid w:val="006747EB"/>
    <w:rsid w:val="006749B0"/>
    <w:rsid w:val="00674D4D"/>
    <w:rsid w:val="006751FE"/>
    <w:rsid w:val="00675C60"/>
    <w:rsid w:val="00677A38"/>
    <w:rsid w:val="00681263"/>
    <w:rsid w:val="00681937"/>
    <w:rsid w:val="00681BD7"/>
    <w:rsid w:val="00681ECD"/>
    <w:rsid w:val="00685234"/>
    <w:rsid w:val="00685894"/>
    <w:rsid w:val="0068742C"/>
    <w:rsid w:val="006879A4"/>
    <w:rsid w:val="00690D9E"/>
    <w:rsid w:val="00694163"/>
    <w:rsid w:val="006949EA"/>
    <w:rsid w:val="00694CA5"/>
    <w:rsid w:val="00695276"/>
    <w:rsid w:val="006954E3"/>
    <w:rsid w:val="006956FB"/>
    <w:rsid w:val="0069596D"/>
    <w:rsid w:val="00695F4D"/>
    <w:rsid w:val="00696F90"/>
    <w:rsid w:val="006A1CE5"/>
    <w:rsid w:val="006A2E1C"/>
    <w:rsid w:val="006A2F2B"/>
    <w:rsid w:val="006A335F"/>
    <w:rsid w:val="006A368D"/>
    <w:rsid w:val="006A479A"/>
    <w:rsid w:val="006A5791"/>
    <w:rsid w:val="006A58D4"/>
    <w:rsid w:val="006A69DA"/>
    <w:rsid w:val="006B0D28"/>
    <w:rsid w:val="006B13E9"/>
    <w:rsid w:val="006B1FB3"/>
    <w:rsid w:val="006B24D0"/>
    <w:rsid w:val="006B27DF"/>
    <w:rsid w:val="006B28BD"/>
    <w:rsid w:val="006B333D"/>
    <w:rsid w:val="006B361E"/>
    <w:rsid w:val="006B3E27"/>
    <w:rsid w:val="006B4588"/>
    <w:rsid w:val="006B56EF"/>
    <w:rsid w:val="006B5C11"/>
    <w:rsid w:val="006B6278"/>
    <w:rsid w:val="006B6B24"/>
    <w:rsid w:val="006B7CE9"/>
    <w:rsid w:val="006C0789"/>
    <w:rsid w:val="006C0A8B"/>
    <w:rsid w:val="006C1F02"/>
    <w:rsid w:val="006C2587"/>
    <w:rsid w:val="006C26BA"/>
    <w:rsid w:val="006C2BED"/>
    <w:rsid w:val="006C37A9"/>
    <w:rsid w:val="006C5246"/>
    <w:rsid w:val="006C5993"/>
    <w:rsid w:val="006C744E"/>
    <w:rsid w:val="006C7B7C"/>
    <w:rsid w:val="006C7ED4"/>
    <w:rsid w:val="006D000A"/>
    <w:rsid w:val="006D0E7D"/>
    <w:rsid w:val="006D12D7"/>
    <w:rsid w:val="006D17CA"/>
    <w:rsid w:val="006D1947"/>
    <w:rsid w:val="006D2F60"/>
    <w:rsid w:val="006D5808"/>
    <w:rsid w:val="006D6C59"/>
    <w:rsid w:val="006D7218"/>
    <w:rsid w:val="006D7746"/>
    <w:rsid w:val="006D7AAA"/>
    <w:rsid w:val="006E02E8"/>
    <w:rsid w:val="006E070F"/>
    <w:rsid w:val="006E0FF4"/>
    <w:rsid w:val="006E2220"/>
    <w:rsid w:val="006E2DE1"/>
    <w:rsid w:val="006E5F3A"/>
    <w:rsid w:val="006E68A1"/>
    <w:rsid w:val="006E6A62"/>
    <w:rsid w:val="006E787D"/>
    <w:rsid w:val="006F0775"/>
    <w:rsid w:val="006F1FC1"/>
    <w:rsid w:val="006F2B41"/>
    <w:rsid w:val="006F2D76"/>
    <w:rsid w:val="006F3295"/>
    <w:rsid w:val="006F3625"/>
    <w:rsid w:val="006F36AC"/>
    <w:rsid w:val="006F3892"/>
    <w:rsid w:val="006F393B"/>
    <w:rsid w:val="006F446A"/>
    <w:rsid w:val="006F47DB"/>
    <w:rsid w:val="006F4F03"/>
    <w:rsid w:val="006F755C"/>
    <w:rsid w:val="006F7AFA"/>
    <w:rsid w:val="006F8A0B"/>
    <w:rsid w:val="007002F9"/>
    <w:rsid w:val="007005BB"/>
    <w:rsid w:val="00700700"/>
    <w:rsid w:val="007014BC"/>
    <w:rsid w:val="007016A9"/>
    <w:rsid w:val="0070200D"/>
    <w:rsid w:val="007025DD"/>
    <w:rsid w:val="007031DD"/>
    <w:rsid w:val="007034B4"/>
    <w:rsid w:val="0070462E"/>
    <w:rsid w:val="00704AF3"/>
    <w:rsid w:val="00704BFB"/>
    <w:rsid w:val="0070593A"/>
    <w:rsid w:val="00705B21"/>
    <w:rsid w:val="00706506"/>
    <w:rsid w:val="00706BD7"/>
    <w:rsid w:val="007071D2"/>
    <w:rsid w:val="007108D0"/>
    <w:rsid w:val="00710A9D"/>
    <w:rsid w:val="00711941"/>
    <w:rsid w:val="0071383E"/>
    <w:rsid w:val="00713D9F"/>
    <w:rsid w:val="00714197"/>
    <w:rsid w:val="007141E2"/>
    <w:rsid w:val="007143C8"/>
    <w:rsid w:val="007145B0"/>
    <w:rsid w:val="00714A51"/>
    <w:rsid w:val="00715C49"/>
    <w:rsid w:val="00715DE3"/>
    <w:rsid w:val="007162F2"/>
    <w:rsid w:val="00720717"/>
    <w:rsid w:val="00720B95"/>
    <w:rsid w:val="007222C9"/>
    <w:rsid w:val="007240F0"/>
    <w:rsid w:val="00724377"/>
    <w:rsid w:val="00726DE9"/>
    <w:rsid w:val="0072782B"/>
    <w:rsid w:val="007302AA"/>
    <w:rsid w:val="00731329"/>
    <w:rsid w:val="00731A34"/>
    <w:rsid w:val="00731EB1"/>
    <w:rsid w:val="00732737"/>
    <w:rsid w:val="00732C7B"/>
    <w:rsid w:val="00734E18"/>
    <w:rsid w:val="0073630D"/>
    <w:rsid w:val="00737331"/>
    <w:rsid w:val="00737CD9"/>
    <w:rsid w:val="00740854"/>
    <w:rsid w:val="00740F08"/>
    <w:rsid w:val="00741C65"/>
    <w:rsid w:val="00742EAD"/>
    <w:rsid w:val="0074456D"/>
    <w:rsid w:val="00746002"/>
    <w:rsid w:val="0074626B"/>
    <w:rsid w:val="007467F7"/>
    <w:rsid w:val="007467F9"/>
    <w:rsid w:val="00746B3D"/>
    <w:rsid w:val="00750AC0"/>
    <w:rsid w:val="00751214"/>
    <w:rsid w:val="007512B6"/>
    <w:rsid w:val="00751CBC"/>
    <w:rsid w:val="00755DB0"/>
    <w:rsid w:val="00756A19"/>
    <w:rsid w:val="00757F8D"/>
    <w:rsid w:val="00760715"/>
    <w:rsid w:val="007615E8"/>
    <w:rsid w:val="00762F5D"/>
    <w:rsid w:val="007630B4"/>
    <w:rsid w:val="007635FA"/>
    <w:rsid w:val="0076372A"/>
    <w:rsid w:val="0076417D"/>
    <w:rsid w:val="00765A67"/>
    <w:rsid w:val="007660CC"/>
    <w:rsid w:val="00766804"/>
    <w:rsid w:val="00766C07"/>
    <w:rsid w:val="007718D4"/>
    <w:rsid w:val="007719F5"/>
    <w:rsid w:val="00771AB3"/>
    <w:rsid w:val="00773C06"/>
    <w:rsid w:val="00773D00"/>
    <w:rsid w:val="007740C6"/>
    <w:rsid w:val="0077495A"/>
    <w:rsid w:val="00774AF8"/>
    <w:rsid w:val="007752DA"/>
    <w:rsid w:val="0077530B"/>
    <w:rsid w:val="007760B9"/>
    <w:rsid w:val="00780788"/>
    <w:rsid w:val="00780CCD"/>
    <w:rsid w:val="007817E4"/>
    <w:rsid w:val="00781F97"/>
    <w:rsid w:val="00783661"/>
    <w:rsid w:val="0078374E"/>
    <w:rsid w:val="00784147"/>
    <w:rsid w:val="00785369"/>
    <w:rsid w:val="00785569"/>
    <w:rsid w:val="00785DED"/>
    <w:rsid w:val="00786BAC"/>
    <w:rsid w:val="00787FD1"/>
    <w:rsid w:val="0079034F"/>
    <w:rsid w:val="007905F9"/>
    <w:rsid w:val="00791D6A"/>
    <w:rsid w:val="00791F5D"/>
    <w:rsid w:val="00792A9B"/>
    <w:rsid w:val="0079327B"/>
    <w:rsid w:val="0079364C"/>
    <w:rsid w:val="00793BC8"/>
    <w:rsid w:val="00794162"/>
    <w:rsid w:val="00795DA5"/>
    <w:rsid w:val="00797E1B"/>
    <w:rsid w:val="007A05E7"/>
    <w:rsid w:val="007A1411"/>
    <w:rsid w:val="007A1802"/>
    <w:rsid w:val="007A2CD2"/>
    <w:rsid w:val="007A3916"/>
    <w:rsid w:val="007A4685"/>
    <w:rsid w:val="007A4F31"/>
    <w:rsid w:val="007A51E7"/>
    <w:rsid w:val="007A5A47"/>
    <w:rsid w:val="007A5E52"/>
    <w:rsid w:val="007A5FFC"/>
    <w:rsid w:val="007A71A7"/>
    <w:rsid w:val="007B034A"/>
    <w:rsid w:val="007B14AF"/>
    <w:rsid w:val="007B21E5"/>
    <w:rsid w:val="007B24E4"/>
    <w:rsid w:val="007B32DE"/>
    <w:rsid w:val="007B4C10"/>
    <w:rsid w:val="007B4EE2"/>
    <w:rsid w:val="007B58D7"/>
    <w:rsid w:val="007B608F"/>
    <w:rsid w:val="007B6B88"/>
    <w:rsid w:val="007B7EDB"/>
    <w:rsid w:val="007C0F90"/>
    <w:rsid w:val="007C14D9"/>
    <w:rsid w:val="007C2BB2"/>
    <w:rsid w:val="007C33B4"/>
    <w:rsid w:val="007C3DDF"/>
    <w:rsid w:val="007C3EC2"/>
    <w:rsid w:val="007C43FD"/>
    <w:rsid w:val="007C491B"/>
    <w:rsid w:val="007C4F55"/>
    <w:rsid w:val="007D00E8"/>
    <w:rsid w:val="007D0E04"/>
    <w:rsid w:val="007D0F50"/>
    <w:rsid w:val="007D155E"/>
    <w:rsid w:val="007D1D29"/>
    <w:rsid w:val="007D2739"/>
    <w:rsid w:val="007D2D39"/>
    <w:rsid w:val="007D31EE"/>
    <w:rsid w:val="007D4E04"/>
    <w:rsid w:val="007D518C"/>
    <w:rsid w:val="007D5810"/>
    <w:rsid w:val="007D5AFD"/>
    <w:rsid w:val="007D6C0B"/>
    <w:rsid w:val="007D76CA"/>
    <w:rsid w:val="007E0083"/>
    <w:rsid w:val="007E0379"/>
    <w:rsid w:val="007E0B06"/>
    <w:rsid w:val="007E14C1"/>
    <w:rsid w:val="007E1644"/>
    <w:rsid w:val="007E1C6F"/>
    <w:rsid w:val="007E2079"/>
    <w:rsid w:val="007E3049"/>
    <w:rsid w:val="007E37FA"/>
    <w:rsid w:val="007E3B7F"/>
    <w:rsid w:val="007E4358"/>
    <w:rsid w:val="007E45B1"/>
    <w:rsid w:val="007E614F"/>
    <w:rsid w:val="007E6D06"/>
    <w:rsid w:val="007E702F"/>
    <w:rsid w:val="007E75C5"/>
    <w:rsid w:val="007E7FB2"/>
    <w:rsid w:val="007F04BE"/>
    <w:rsid w:val="007F0A28"/>
    <w:rsid w:val="007F0F44"/>
    <w:rsid w:val="007F1B95"/>
    <w:rsid w:val="007F1C49"/>
    <w:rsid w:val="007F4092"/>
    <w:rsid w:val="007F4120"/>
    <w:rsid w:val="007F4EA1"/>
    <w:rsid w:val="007F4EBF"/>
    <w:rsid w:val="007F5BC1"/>
    <w:rsid w:val="007F5BFE"/>
    <w:rsid w:val="007F6AAA"/>
    <w:rsid w:val="007F7C3E"/>
    <w:rsid w:val="0080004E"/>
    <w:rsid w:val="00801F4D"/>
    <w:rsid w:val="008020C0"/>
    <w:rsid w:val="008030A3"/>
    <w:rsid w:val="00803A68"/>
    <w:rsid w:val="00803F36"/>
    <w:rsid w:val="008044B5"/>
    <w:rsid w:val="008056CC"/>
    <w:rsid w:val="00805A48"/>
    <w:rsid w:val="00806955"/>
    <w:rsid w:val="00806FEE"/>
    <w:rsid w:val="0081362F"/>
    <w:rsid w:val="00815655"/>
    <w:rsid w:val="00820B41"/>
    <w:rsid w:val="00821C09"/>
    <w:rsid w:val="00821E26"/>
    <w:rsid w:val="00822A1E"/>
    <w:rsid w:val="00823998"/>
    <w:rsid w:val="00823F76"/>
    <w:rsid w:val="0082458F"/>
    <w:rsid w:val="00824B40"/>
    <w:rsid w:val="008258AC"/>
    <w:rsid w:val="008264A9"/>
    <w:rsid w:val="008277A1"/>
    <w:rsid w:val="008316F5"/>
    <w:rsid w:val="008321E7"/>
    <w:rsid w:val="0083238E"/>
    <w:rsid w:val="0083256F"/>
    <w:rsid w:val="0083335A"/>
    <w:rsid w:val="00833BED"/>
    <w:rsid w:val="00833FB5"/>
    <w:rsid w:val="00834234"/>
    <w:rsid w:val="0083443B"/>
    <w:rsid w:val="00834727"/>
    <w:rsid w:val="008349ED"/>
    <w:rsid w:val="00834AA5"/>
    <w:rsid w:val="0083601E"/>
    <w:rsid w:val="008367CD"/>
    <w:rsid w:val="00836B92"/>
    <w:rsid w:val="008411A9"/>
    <w:rsid w:val="0084190B"/>
    <w:rsid w:val="00842019"/>
    <w:rsid w:val="008429D9"/>
    <w:rsid w:val="00843562"/>
    <w:rsid w:val="00843B8A"/>
    <w:rsid w:val="008443F7"/>
    <w:rsid w:val="00844F09"/>
    <w:rsid w:val="008459F4"/>
    <w:rsid w:val="00845B23"/>
    <w:rsid w:val="00846EC3"/>
    <w:rsid w:val="00847270"/>
    <w:rsid w:val="008474F9"/>
    <w:rsid w:val="008537DB"/>
    <w:rsid w:val="00855220"/>
    <w:rsid w:val="00855E49"/>
    <w:rsid w:val="00856316"/>
    <w:rsid w:val="00856BA3"/>
    <w:rsid w:val="00860464"/>
    <w:rsid w:val="00860491"/>
    <w:rsid w:val="00861070"/>
    <w:rsid w:val="008616A4"/>
    <w:rsid w:val="0086209F"/>
    <w:rsid w:val="0086299D"/>
    <w:rsid w:val="00862DBB"/>
    <w:rsid w:val="00862F61"/>
    <w:rsid w:val="00863677"/>
    <w:rsid w:val="00863EDE"/>
    <w:rsid w:val="0086428F"/>
    <w:rsid w:val="008645A9"/>
    <w:rsid w:val="00864A08"/>
    <w:rsid w:val="00864C00"/>
    <w:rsid w:val="008658C4"/>
    <w:rsid w:val="00866755"/>
    <w:rsid w:val="00867678"/>
    <w:rsid w:val="00870626"/>
    <w:rsid w:val="00870A95"/>
    <w:rsid w:val="008710DC"/>
    <w:rsid w:val="00871536"/>
    <w:rsid w:val="008718E3"/>
    <w:rsid w:val="00871A5B"/>
    <w:rsid w:val="00872EF3"/>
    <w:rsid w:val="00876047"/>
    <w:rsid w:val="00876666"/>
    <w:rsid w:val="008767AF"/>
    <w:rsid w:val="0087703B"/>
    <w:rsid w:val="0087756C"/>
    <w:rsid w:val="00877A9B"/>
    <w:rsid w:val="00877C94"/>
    <w:rsid w:val="00877D9E"/>
    <w:rsid w:val="00880C74"/>
    <w:rsid w:val="00880C9F"/>
    <w:rsid w:val="00881929"/>
    <w:rsid w:val="00881E0D"/>
    <w:rsid w:val="0088290B"/>
    <w:rsid w:val="00883F68"/>
    <w:rsid w:val="008869D6"/>
    <w:rsid w:val="00886D84"/>
    <w:rsid w:val="00886DC2"/>
    <w:rsid w:val="00886F56"/>
    <w:rsid w:val="00887DA0"/>
    <w:rsid w:val="008916B5"/>
    <w:rsid w:val="008935F1"/>
    <w:rsid w:val="00893900"/>
    <w:rsid w:val="00893A47"/>
    <w:rsid w:val="00893C28"/>
    <w:rsid w:val="008946E4"/>
    <w:rsid w:val="008947A3"/>
    <w:rsid w:val="00895289"/>
    <w:rsid w:val="008954D0"/>
    <w:rsid w:val="00895B8F"/>
    <w:rsid w:val="00896369"/>
    <w:rsid w:val="0089680B"/>
    <w:rsid w:val="00896FCD"/>
    <w:rsid w:val="00897966"/>
    <w:rsid w:val="00897D88"/>
    <w:rsid w:val="00897EA5"/>
    <w:rsid w:val="008A0F0B"/>
    <w:rsid w:val="008A19F5"/>
    <w:rsid w:val="008A1ADC"/>
    <w:rsid w:val="008A2277"/>
    <w:rsid w:val="008A28A1"/>
    <w:rsid w:val="008A38DF"/>
    <w:rsid w:val="008A39F9"/>
    <w:rsid w:val="008A4524"/>
    <w:rsid w:val="008A5B80"/>
    <w:rsid w:val="008B0D41"/>
    <w:rsid w:val="008B13E6"/>
    <w:rsid w:val="008B166A"/>
    <w:rsid w:val="008B1C5E"/>
    <w:rsid w:val="008B1D14"/>
    <w:rsid w:val="008B1F32"/>
    <w:rsid w:val="008B2BB8"/>
    <w:rsid w:val="008B34BA"/>
    <w:rsid w:val="008B3FF1"/>
    <w:rsid w:val="008B49E9"/>
    <w:rsid w:val="008B4F50"/>
    <w:rsid w:val="008B54DA"/>
    <w:rsid w:val="008B562D"/>
    <w:rsid w:val="008B566C"/>
    <w:rsid w:val="008B633F"/>
    <w:rsid w:val="008B7958"/>
    <w:rsid w:val="008C0509"/>
    <w:rsid w:val="008C1073"/>
    <w:rsid w:val="008C2536"/>
    <w:rsid w:val="008C3756"/>
    <w:rsid w:val="008C3C24"/>
    <w:rsid w:val="008C47A8"/>
    <w:rsid w:val="008C49E5"/>
    <w:rsid w:val="008C71F8"/>
    <w:rsid w:val="008C7358"/>
    <w:rsid w:val="008C737F"/>
    <w:rsid w:val="008D0CE3"/>
    <w:rsid w:val="008D0D78"/>
    <w:rsid w:val="008D1937"/>
    <w:rsid w:val="008D1FB2"/>
    <w:rsid w:val="008D280B"/>
    <w:rsid w:val="008D5D15"/>
    <w:rsid w:val="008D611C"/>
    <w:rsid w:val="008D6A6E"/>
    <w:rsid w:val="008D6C54"/>
    <w:rsid w:val="008D75C8"/>
    <w:rsid w:val="008E0EF2"/>
    <w:rsid w:val="008E18E9"/>
    <w:rsid w:val="008E19BD"/>
    <w:rsid w:val="008E1B12"/>
    <w:rsid w:val="008E1E60"/>
    <w:rsid w:val="008E2715"/>
    <w:rsid w:val="008E3F7C"/>
    <w:rsid w:val="008E4A1F"/>
    <w:rsid w:val="008E5214"/>
    <w:rsid w:val="008E54FF"/>
    <w:rsid w:val="008E5AED"/>
    <w:rsid w:val="008E6262"/>
    <w:rsid w:val="008E679F"/>
    <w:rsid w:val="008E67A8"/>
    <w:rsid w:val="008E6BD1"/>
    <w:rsid w:val="008E7181"/>
    <w:rsid w:val="008E7BF8"/>
    <w:rsid w:val="008F2467"/>
    <w:rsid w:val="008F2848"/>
    <w:rsid w:val="008F2E7A"/>
    <w:rsid w:val="008F30BA"/>
    <w:rsid w:val="008F32C4"/>
    <w:rsid w:val="008F3E82"/>
    <w:rsid w:val="008F4E3D"/>
    <w:rsid w:val="008F61F7"/>
    <w:rsid w:val="008F67E7"/>
    <w:rsid w:val="008F68F9"/>
    <w:rsid w:val="009008B0"/>
    <w:rsid w:val="00900A4B"/>
    <w:rsid w:val="00901BC8"/>
    <w:rsid w:val="009024BC"/>
    <w:rsid w:val="009024EB"/>
    <w:rsid w:val="009029FC"/>
    <w:rsid w:val="00903922"/>
    <w:rsid w:val="009039E2"/>
    <w:rsid w:val="00903C13"/>
    <w:rsid w:val="009042CE"/>
    <w:rsid w:val="009046BF"/>
    <w:rsid w:val="00905290"/>
    <w:rsid w:val="00905E2D"/>
    <w:rsid w:val="00907D6D"/>
    <w:rsid w:val="0091044C"/>
    <w:rsid w:val="00910674"/>
    <w:rsid w:val="00911ECB"/>
    <w:rsid w:val="00913E5D"/>
    <w:rsid w:val="009155A5"/>
    <w:rsid w:val="009159D5"/>
    <w:rsid w:val="00915CDB"/>
    <w:rsid w:val="00916590"/>
    <w:rsid w:val="00916F34"/>
    <w:rsid w:val="00916FE2"/>
    <w:rsid w:val="009208B3"/>
    <w:rsid w:val="00923C89"/>
    <w:rsid w:val="00923D85"/>
    <w:rsid w:val="0092538D"/>
    <w:rsid w:val="00925816"/>
    <w:rsid w:val="00925E0A"/>
    <w:rsid w:val="00925F45"/>
    <w:rsid w:val="009260F7"/>
    <w:rsid w:val="00926F35"/>
    <w:rsid w:val="00927087"/>
    <w:rsid w:val="0092711F"/>
    <w:rsid w:val="00927F47"/>
    <w:rsid w:val="00930D75"/>
    <w:rsid w:val="00931765"/>
    <w:rsid w:val="0093180F"/>
    <w:rsid w:val="00931BDC"/>
    <w:rsid w:val="00931FFB"/>
    <w:rsid w:val="00932BD3"/>
    <w:rsid w:val="00933339"/>
    <w:rsid w:val="009338F2"/>
    <w:rsid w:val="00934763"/>
    <w:rsid w:val="00934908"/>
    <w:rsid w:val="00934B37"/>
    <w:rsid w:val="00934E60"/>
    <w:rsid w:val="00934F28"/>
    <w:rsid w:val="0093528E"/>
    <w:rsid w:val="0093543C"/>
    <w:rsid w:val="00935762"/>
    <w:rsid w:val="00937261"/>
    <w:rsid w:val="0093784A"/>
    <w:rsid w:val="00941DD8"/>
    <w:rsid w:val="00943638"/>
    <w:rsid w:val="00943EBC"/>
    <w:rsid w:val="00944534"/>
    <w:rsid w:val="00944F82"/>
    <w:rsid w:val="009453D0"/>
    <w:rsid w:val="0094572E"/>
    <w:rsid w:val="009463CC"/>
    <w:rsid w:val="009472A5"/>
    <w:rsid w:val="009473DC"/>
    <w:rsid w:val="00947FC4"/>
    <w:rsid w:val="0095014A"/>
    <w:rsid w:val="009502F7"/>
    <w:rsid w:val="009514E9"/>
    <w:rsid w:val="00952D48"/>
    <w:rsid w:val="00953840"/>
    <w:rsid w:val="0095479E"/>
    <w:rsid w:val="00954C8C"/>
    <w:rsid w:val="00954DF4"/>
    <w:rsid w:val="00955EE5"/>
    <w:rsid w:val="00956280"/>
    <w:rsid w:val="00956A38"/>
    <w:rsid w:val="009572BE"/>
    <w:rsid w:val="00957894"/>
    <w:rsid w:val="00957F0E"/>
    <w:rsid w:val="009625C9"/>
    <w:rsid w:val="00963388"/>
    <w:rsid w:val="00964417"/>
    <w:rsid w:val="00964F51"/>
    <w:rsid w:val="009660BC"/>
    <w:rsid w:val="009661E7"/>
    <w:rsid w:val="0097060D"/>
    <w:rsid w:val="00971745"/>
    <w:rsid w:val="009718EA"/>
    <w:rsid w:val="00972058"/>
    <w:rsid w:val="00972602"/>
    <w:rsid w:val="00972936"/>
    <w:rsid w:val="00973C57"/>
    <w:rsid w:val="0097471D"/>
    <w:rsid w:val="00974E4E"/>
    <w:rsid w:val="009765F2"/>
    <w:rsid w:val="0097741D"/>
    <w:rsid w:val="009775FA"/>
    <w:rsid w:val="00977874"/>
    <w:rsid w:val="009813D2"/>
    <w:rsid w:val="00981A2E"/>
    <w:rsid w:val="00981FD5"/>
    <w:rsid w:val="0098374B"/>
    <w:rsid w:val="00984CFE"/>
    <w:rsid w:val="00984E21"/>
    <w:rsid w:val="00984F48"/>
    <w:rsid w:val="0098530C"/>
    <w:rsid w:val="009855A0"/>
    <w:rsid w:val="00985869"/>
    <w:rsid w:val="00986357"/>
    <w:rsid w:val="0098674B"/>
    <w:rsid w:val="00986901"/>
    <w:rsid w:val="00986C2E"/>
    <w:rsid w:val="00990334"/>
    <w:rsid w:val="00994A39"/>
    <w:rsid w:val="00994D9E"/>
    <w:rsid w:val="009958CB"/>
    <w:rsid w:val="00995D1F"/>
    <w:rsid w:val="00996140"/>
    <w:rsid w:val="009968F2"/>
    <w:rsid w:val="009A0ABB"/>
    <w:rsid w:val="009A1017"/>
    <w:rsid w:val="009A1254"/>
    <w:rsid w:val="009A16A4"/>
    <w:rsid w:val="009A1B40"/>
    <w:rsid w:val="009A33F5"/>
    <w:rsid w:val="009A5153"/>
    <w:rsid w:val="009A5E3C"/>
    <w:rsid w:val="009A6633"/>
    <w:rsid w:val="009A6904"/>
    <w:rsid w:val="009A7257"/>
    <w:rsid w:val="009A7BEC"/>
    <w:rsid w:val="009B057C"/>
    <w:rsid w:val="009B06D6"/>
    <w:rsid w:val="009B1D96"/>
    <w:rsid w:val="009B2763"/>
    <w:rsid w:val="009B355D"/>
    <w:rsid w:val="009B3AA6"/>
    <w:rsid w:val="009B3CB7"/>
    <w:rsid w:val="009B64AB"/>
    <w:rsid w:val="009B68D6"/>
    <w:rsid w:val="009B7B84"/>
    <w:rsid w:val="009B7E68"/>
    <w:rsid w:val="009C0987"/>
    <w:rsid w:val="009C1A60"/>
    <w:rsid w:val="009C27E1"/>
    <w:rsid w:val="009C28F3"/>
    <w:rsid w:val="009C2C9F"/>
    <w:rsid w:val="009C3015"/>
    <w:rsid w:val="009C311D"/>
    <w:rsid w:val="009C32DF"/>
    <w:rsid w:val="009C3556"/>
    <w:rsid w:val="009C37D6"/>
    <w:rsid w:val="009C3CD8"/>
    <w:rsid w:val="009C40F9"/>
    <w:rsid w:val="009C4251"/>
    <w:rsid w:val="009C4CE7"/>
    <w:rsid w:val="009C4F24"/>
    <w:rsid w:val="009C58BF"/>
    <w:rsid w:val="009C5A55"/>
    <w:rsid w:val="009C7602"/>
    <w:rsid w:val="009D1C00"/>
    <w:rsid w:val="009D2187"/>
    <w:rsid w:val="009D2246"/>
    <w:rsid w:val="009D3077"/>
    <w:rsid w:val="009D63F7"/>
    <w:rsid w:val="009D6530"/>
    <w:rsid w:val="009D768A"/>
    <w:rsid w:val="009D78F9"/>
    <w:rsid w:val="009D7B29"/>
    <w:rsid w:val="009D7C1A"/>
    <w:rsid w:val="009E0B75"/>
    <w:rsid w:val="009E13D9"/>
    <w:rsid w:val="009E3649"/>
    <w:rsid w:val="009E4039"/>
    <w:rsid w:val="009E421B"/>
    <w:rsid w:val="009E42BA"/>
    <w:rsid w:val="009E58E1"/>
    <w:rsid w:val="009E7660"/>
    <w:rsid w:val="009E76AE"/>
    <w:rsid w:val="009E77A2"/>
    <w:rsid w:val="009E7928"/>
    <w:rsid w:val="009F0AB8"/>
    <w:rsid w:val="009F0EA0"/>
    <w:rsid w:val="009F0F64"/>
    <w:rsid w:val="009F15D9"/>
    <w:rsid w:val="009F1FD7"/>
    <w:rsid w:val="009F25FF"/>
    <w:rsid w:val="009F29AA"/>
    <w:rsid w:val="009F33BD"/>
    <w:rsid w:val="009F377B"/>
    <w:rsid w:val="009F4217"/>
    <w:rsid w:val="009F5DC2"/>
    <w:rsid w:val="009F62B7"/>
    <w:rsid w:val="009F6FFF"/>
    <w:rsid w:val="009F7BE8"/>
    <w:rsid w:val="00A0136D"/>
    <w:rsid w:val="00A01C71"/>
    <w:rsid w:val="00A035F9"/>
    <w:rsid w:val="00A04277"/>
    <w:rsid w:val="00A04C95"/>
    <w:rsid w:val="00A053E2"/>
    <w:rsid w:val="00A05672"/>
    <w:rsid w:val="00A06BD9"/>
    <w:rsid w:val="00A06C46"/>
    <w:rsid w:val="00A07305"/>
    <w:rsid w:val="00A077AE"/>
    <w:rsid w:val="00A103CD"/>
    <w:rsid w:val="00A11636"/>
    <w:rsid w:val="00A1194D"/>
    <w:rsid w:val="00A13017"/>
    <w:rsid w:val="00A13AC9"/>
    <w:rsid w:val="00A14851"/>
    <w:rsid w:val="00A14E11"/>
    <w:rsid w:val="00A15AC3"/>
    <w:rsid w:val="00A172FB"/>
    <w:rsid w:val="00A17B88"/>
    <w:rsid w:val="00A20D1F"/>
    <w:rsid w:val="00A21316"/>
    <w:rsid w:val="00A219DC"/>
    <w:rsid w:val="00A21DE9"/>
    <w:rsid w:val="00A21F98"/>
    <w:rsid w:val="00A21FCE"/>
    <w:rsid w:val="00A2240C"/>
    <w:rsid w:val="00A22E22"/>
    <w:rsid w:val="00A23997"/>
    <w:rsid w:val="00A257C6"/>
    <w:rsid w:val="00A257E2"/>
    <w:rsid w:val="00A25A3A"/>
    <w:rsid w:val="00A26BA6"/>
    <w:rsid w:val="00A26F62"/>
    <w:rsid w:val="00A2716F"/>
    <w:rsid w:val="00A275F2"/>
    <w:rsid w:val="00A310EA"/>
    <w:rsid w:val="00A32952"/>
    <w:rsid w:val="00A32B63"/>
    <w:rsid w:val="00A32BB6"/>
    <w:rsid w:val="00A33FEA"/>
    <w:rsid w:val="00A3585A"/>
    <w:rsid w:val="00A35C78"/>
    <w:rsid w:val="00A35DF4"/>
    <w:rsid w:val="00A36436"/>
    <w:rsid w:val="00A37623"/>
    <w:rsid w:val="00A40829"/>
    <w:rsid w:val="00A408F7"/>
    <w:rsid w:val="00A41568"/>
    <w:rsid w:val="00A42C3D"/>
    <w:rsid w:val="00A464C3"/>
    <w:rsid w:val="00A46732"/>
    <w:rsid w:val="00A46D11"/>
    <w:rsid w:val="00A46E18"/>
    <w:rsid w:val="00A47869"/>
    <w:rsid w:val="00A47BDA"/>
    <w:rsid w:val="00A50C2C"/>
    <w:rsid w:val="00A5239D"/>
    <w:rsid w:val="00A5270E"/>
    <w:rsid w:val="00A52FBD"/>
    <w:rsid w:val="00A543A1"/>
    <w:rsid w:val="00A545C8"/>
    <w:rsid w:val="00A551BD"/>
    <w:rsid w:val="00A562B2"/>
    <w:rsid w:val="00A56BC8"/>
    <w:rsid w:val="00A56F1E"/>
    <w:rsid w:val="00A573EB"/>
    <w:rsid w:val="00A60337"/>
    <w:rsid w:val="00A603C2"/>
    <w:rsid w:val="00A605C3"/>
    <w:rsid w:val="00A6092B"/>
    <w:rsid w:val="00A6230B"/>
    <w:rsid w:val="00A6268D"/>
    <w:rsid w:val="00A63015"/>
    <w:rsid w:val="00A6364F"/>
    <w:rsid w:val="00A64DD3"/>
    <w:rsid w:val="00A66764"/>
    <w:rsid w:val="00A66853"/>
    <w:rsid w:val="00A66D94"/>
    <w:rsid w:val="00A67DAE"/>
    <w:rsid w:val="00A7068B"/>
    <w:rsid w:val="00A71571"/>
    <w:rsid w:val="00A7208B"/>
    <w:rsid w:val="00A72724"/>
    <w:rsid w:val="00A72730"/>
    <w:rsid w:val="00A72CC9"/>
    <w:rsid w:val="00A731BD"/>
    <w:rsid w:val="00A73595"/>
    <w:rsid w:val="00A736E1"/>
    <w:rsid w:val="00A73AB4"/>
    <w:rsid w:val="00A758DC"/>
    <w:rsid w:val="00A758E4"/>
    <w:rsid w:val="00A75C48"/>
    <w:rsid w:val="00A760F3"/>
    <w:rsid w:val="00A76ADB"/>
    <w:rsid w:val="00A7706E"/>
    <w:rsid w:val="00A77861"/>
    <w:rsid w:val="00A80E8D"/>
    <w:rsid w:val="00A821C2"/>
    <w:rsid w:val="00A82F10"/>
    <w:rsid w:val="00A83561"/>
    <w:rsid w:val="00A837E9"/>
    <w:rsid w:val="00A8381F"/>
    <w:rsid w:val="00A84083"/>
    <w:rsid w:val="00A854B8"/>
    <w:rsid w:val="00A85572"/>
    <w:rsid w:val="00A859E6"/>
    <w:rsid w:val="00A86F2D"/>
    <w:rsid w:val="00A86F8E"/>
    <w:rsid w:val="00A870A9"/>
    <w:rsid w:val="00A878F7"/>
    <w:rsid w:val="00A911BE"/>
    <w:rsid w:val="00A916D4"/>
    <w:rsid w:val="00A91727"/>
    <w:rsid w:val="00A91F1A"/>
    <w:rsid w:val="00A9308C"/>
    <w:rsid w:val="00A93161"/>
    <w:rsid w:val="00A94000"/>
    <w:rsid w:val="00A95695"/>
    <w:rsid w:val="00A95B6C"/>
    <w:rsid w:val="00A9634A"/>
    <w:rsid w:val="00AA04BB"/>
    <w:rsid w:val="00AA1C1E"/>
    <w:rsid w:val="00AA3467"/>
    <w:rsid w:val="00AA3C8B"/>
    <w:rsid w:val="00AA422A"/>
    <w:rsid w:val="00AA5100"/>
    <w:rsid w:val="00AA52A3"/>
    <w:rsid w:val="00AA5388"/>
    <w:rsid w:val="00AA5A70"/>
    <w:rsid w:val="00AA63E0"/>
    <w:rsid w:val="00AA6924"/>
    <w:rsid w:val="00AB02EE"/>
    <w:rsid w:val="00AB063E"/>
    <w:rsid w:val="00AB075F"/>
    <w:rsid w:val="00AB26F4"/>
    <w:rsid w:val="00AB33D7"/>
    <w:rsid w:val="00AB3A87"/>
    <w:rsid w:val="00AB4E74"/>
    <w:rsid w:val="00AB55C9"/>
    <w:rsid w:val="00AB5C1D"/>
    <w:rsid w:val="00AB6088"/>
    <w:rsid w:val="00AB6400"/>
    <w:rsid w:val="00AB7EDB"/>
    <w:rsid w:val="00AC02AE"/>
    <w:rsid w:val="00AC070B"/>
    <w:rsid w:val="00AC17D5"/>
    <w:rsid w:val="00AC1FE3"/>
    <w:rsid w:val="00AC28F8"/>
    <w:rsid w:val="00AC45AD"/>
    <w:rsid w:val="00AC4FA4"/>
    <w:rsid w:val="00AC5595"/>
    <w:rsid w:val="00AC57A4"/>
    <w:rsid w:val="00AC6B80"/>
    <w:rsid w:val="00AC6EFB"/>
    <w:rsid w:val="00AC72DF"/>
    <w:rsid w:val="00AD0506"/>
    <w:rsid w:val="00AD06EE"/>
    <w:rsid w:val="00AD0BD1"/>
    <w:rsid w:val="00AD0E56"/>
    <w:rsid w:val="00AD25AE"/>
    <w:rsid w:val="00AD3324"/>
    <w:rsid w:val="00AD48AC"/>
    <w:rsid w:val="00AD5360"/>
    <w:rsid w:val="00AD7634"/>
    <w:rsid w:val="00AE05EF"/>
    <w:rsid w:val="00AE0D66"/>
    <w:rsid w:val="00AE1167"/>
    <w:rsid w:val="00AE12EB"/>
    <w:rsid w:val="00AE22BC"/>
    <w:rsid w:val="00AE3ACF"/>
    <w:rsid w:val="00AE3EC7"/>
    <w:rsid w:val="00AE45C2"/>
    <w:rsid w:val="00AE52FC"/>
    <w:rsid w:val="00AE61DE"/>
    <w:rsid w:val="00AE66C5"/>
    <w:rsid w:val="00AE673A"/>
    <w:rsid w:val="00AF043D"/>
    <w:rsid w:val="00AF0AC9"/>
    <w:rsid w:val="00AF0BDD"/>
    <w:rsid w:val="00AF2985"/>
    <w:rsid w:val="00AF2E7F"/>
    <w:rsid w:val="00AF50D2"/>
    <w:rsid w:val="00AF50EB"/>
    <w:rsid w:val="00AF5864"/>
    <w:rsid w:val="00AF5E4E"/>
    <w:rsid w:val="00AF6010"/>
    <w:rsid w:val="00AF650C"/>
    <w:rsid w:val="00AF6D8A"/>
    <w:rsid w:val="00AF6E0F"/>
    <w:rsid w:val="00B004FD"/>
    <w:rsid w:val="00B008C3"/>
    <w:rsid w:val="00B009D6"/>
    <w:rsid w:val="00B01A78"/>
    <w:rsid w:val="00B01A80"/>
    <w:rsid w:val="00B0250A"/>
    <w:rsid w:val="00B02AC8"/>
    <w:rsid w:val="00B04ED6"/>
    <w:rsid w:val="00B05627"/>
    <w:rsid w:val="00B05B12"/>
    <w:rsid w:val="00B05B1F"/>
    <w:rsid w:val="00B060BC"/>
    <w:rsid w:val="00B068E5"/>
    <w:rsid w:val="00B068E6"/>
    <w:rsid w:val="00B06901"/>
    <w:rsid w:val="00B06CDB"/>
    <w:rsid w:val="00B079F7"/>
    <w:rsid w:val="00B1033F"/>
    <w:rsid w:val="00B10397"/>
    <w:rsid w:val="00B10585"/>
    <w:rsid w:val="00B10C8F"/>
    <w:rsid w:val="00B114D1"/>
    <w:rsid w:val="00B114DB"/>
    <w:rsid w:val="00B117AF"/>
    <w:rsid w:val="00B118F4"/>
    <w:rsid w:val="00B11BE5"/>
    <w:rsid w:val="00B12505"/>
    <w:rsid w:val="00B144D6"/>
    <w:rsid w:val="00B14EA4"/>
    <w:rsid w:val="00B15E82"/>
    <w:rsid w:val="00B164F4"/>
    <w:rsid w:val="00B16F01"/>
    <w:rsid w:val="00B16F8F"/>
    <w:rsid w:val="00B20EBB"/>
    <w:rsid w:val="00B20EED"/>
    <w:rsid w:val="00B214E8"/>
    <w:rsid w:val="00B22072"/>
    <w:rsid w:val="00B2216A"/>
    <w:rsid w:val="00B221DD"/>
    <w:rsid w:val="00B22ECC"/>
    <w:rsid w:val="00B23909"/>
    <w:rsid w:val="00B2447A"/>
    <w:rsid w:val="00B24C78"/>
    <w:rsid w:val="00B24EF3"/>
    <w:rsid w:val="00B25352"/>
    <w:rsid w:val="00B256D2"/>
    <w:rsid w:val="00B26562"/>
    <w:rsid w:val="00B30385"/>
    <w:rsid w:val="00B3048C"/>
    <w:rsid w:val="00B30A02"/>
    <w:rsid w:val="00B31877"/>
    <w:rsid w:val="00B31B07"/>
    <w:rsid w:val="00B34589"/>
    <w:rsid w:val="00B34903"/>
    <w:rsid w:val="00B34A6E"/>
    <w:rsid w:val="00B35BA7"/>
    <w:rsid w:val="00B35DA3"/>
    <w:rsid w:val="00B400DD"/>
    <w:rsid w:val="00B40105"/>
    <w:rsid w:val="00B40519"/>
    <w:rsid w:val="00B40826"/>
    <w:rsid w:val="00B40898"/>
    <w:rsid w:val="00B40B45"/>
    <w:rsid w:val="00B41687"/>
    <w:rsid w:val="00B42250"/>
    <w:rsid w:val="00B42C4B"/>
    <w:rsid w:val="00B42DAF"/>
    <w:rsid w:val="00B4349E"/>
    <w:rsid w:val="00B436F3"/>
    <w:rsid w:val="00B440A3"/>
    <w:rsid w:val="00B4466E"/>
    <w:rsid w:val="00B4478C"/>
    <w:rsid w:val="00B44BB2"/>
    <w:rsid w:val="00B463EE"/>
    <w:rsid w:val="00B46F57"/>
    <w:rsid w:val="00B478A4"/>
    <w:rsid w:val="00B47ED3"/>
    <w:rsid w:val="00B50396"/>
    <w:rsid w:val="00B50799"/>
    <w:rsid w:val="00B522FE"/>
    <w:rsid w:val="00B525D5"/>
    <w:rsid w:val="00B52703"/>
    <w:rsid w:val="00B52D63"/>
    <w:rsid w:val="00B54BBB"/>
    <w:rsid w:val="00B5515B"/>
    <w:rsid w:val="00B552A6"/>
    <w:rsid w:val="00B55E43"/>
    <w:rsid w:val="00B563AB"/>
    <w:rsid w:val="00B57A0E"/>
    <w:rsid w:val="00B60053"/>
    <w:rsid w:val="00B601CA"/>
    <w:rsid w:val="00B60D9F"/>
    <w:rsid w:val="00B615BE"/>
    <w:rsid w:val="00B631F4"/>
    <w:rsid w:val="00B64782"/>
    <w:rsid w:val="00B64F78"/>
    <w:rsid w:val="00B65369"/>
    <w:rsid w:val="00B65FE9"/>
    <w:rsid w:val="00B71908"/>
    <w:rsid w:val="00B71BBA"/>
    <w:rsid w:val="00B71F9F"/>
    <w:rsid w:val="00B727B1"/>
    <w:rsid w:val="00B73151"/>
    <w:rsid w:val="00B73508"/>
    <w:rsid w:val="00B73728"/>
    <w:rsid w:val="00B73BEE"/>
    <w:rsid w:val="00B74009"/>
    <w:rsid w:val="00B742CE"/>
    <w:rsid w:val="00B75E1F"/>
    <w:rsid w:val="00B7720A"/>
    <w:rsid w:val="00B7745A"/>
    <w:rsid w:val="00B8093D"/>
    <w:rsid w:val="00B80B79"/>
    <w:rsid w:val="00B80FB5"/>
    <w:rsid w:val="00B815C1"/>
    <w:rsid w:val="00B827A6"/>
    <w:rsid w:val="00B82D6F"/>
    <w:rsid w:val="00B83612"/>
    <w:rsid w:val="00B83AF4"/>
    <w:rsid w:val="00B844E0"/>
    <w:rsid w:val="00B85A44"/>
    <w:rsid w:val="00B85D2C"/>
    <w:rsid w:val="00B90306"/>
    <w:rsid w:val="00B90EE0"/>
    <w:rsid w:val="00B91435"/>
    <w:rsid w:val="00B94B2C"/>
    <w:rsid w:val="00B9521E"/>
    <w:rsid w:val="00B95393"/>
    <w:rsid w:val="00B95B20"/>
    <w:rsid w:val="00B96121"/>
    <w:rsid w:val="00B96198"/>
    <w:rsid w:val="00B961B2"/>
    <w:rsid w:val="00B974AA"/>
    <w:rsid w:val="00BA00F2"/>
    <w:rsid w:val="00BA0AAC"/>
    <w:rsid w:val="00BA164B"/>
    <w:rsid w:val="00BA2C94"/>
    <w:rsid w:val="00BA2DE7"/>
    <w:rsid w:val="00BA3A16"/>
    <w:rsid w:val="00BA563C"/>
    <w:rsid w:val="00BA5DDD"/>
    <w:rsid w:val="00BA5E84"/>
    <w:rsid w:val="00BA7262"/>
    <w:rsid w:val="00BA7699"/>
    <w:rsid w:val="00BA795F"/>
    <w:rsid w:val="00BA7C9F"/>
    <w:rsid w:val="00BB143E"/>
    <w:rsid w:val="00BB1BE8"/>
    <w:rsid w:val="00BB1E52"/>
    <w:rsid w:val="00BB20BF"/>
    <w:rsid w:val="00BB2DB6"/>
    <w:rsid w:val="00BB30BD"/>
    <w:rsid w:val="00BB3A4B"/>
    <w:rsid w:val="00BB4CCF"/>
    <w:rsid w:val="00BB5DA8"/>
    <w:rsid w:val="00BB6273"/>
    <w:rsid w:val="00BB666C"/>
    <w:rsid w:val="00BB721A"/>
    <w:rsid w:val="00BB7BD5"/>
    <w:rsid w:val="00BC01AD"/>
    <w:rsid w:val="00BC09E7"/>
    <w:rsid w:val="00BC2985"/>
    <w:rsid w:val="00BC36A0"/>
    <w:rsid w:val="00BC3839"/>
    <w:rsid w:val="00BC3C11"/>
    <w:rsid w:val="00BC4872"/>
    <w:rsid w:val="00BC4C8A"/>
    <w:rsid w:val="00BC4EF1"/>
    <w:rsid w:val="00BC507A"/>
    <w:rsid w:val="00BC6353"/>
    <w:rsid w:val="00BC725B"/>
    <w:rsid w:val="00BC72BF"/>
    <w:rsid w:val="00BC7FBD"/>
    <w:rsid w:val="00BD0663"/>
    <w:rsid w:val="00BD0C53"/>
    <w:rsid w:val="00BD107E"/>
    <w:rsid w:val="00BD2180"/>
    <w:rsid w:val="00BD22B6"/>
    <w:rsid w:val="00BD26A1"/>
    <w:rsid w:val="00BD3BF1"/>
    <w:rsid w:val="00BD4239"/>
    <w:rsid w:val="00BD4469"/>
    <w:rsid w:val="00BD44B3"/>
    <w:rsid w:val="00BD4FAB"/>
    <w:rsid w:val="00BD648A"/>
    <w:rsid w:val="00BD64D4"/>
    <w:rsid w:val="00BD6F26"/>
    <w:rsid w:val="00BD79A7"/>
    <w:rsid w:val="00BE12C0"/>
    <w:rsid w:val="00BE186B"/>
    <w:rsid w:val="00BE19CA"/>
    <w:rsid w:val="00BE3D81"/>
    <w:rsid w:val="00BE43B5"/>
    <w:rsid w:val="00BE44AF"/>
    <w:rsid w:val="00BE525E"/>
    <w:rsid w:val="00BE52A8"/>
    <w:rsid w:val="00BE5810"/>
    <w:rsid w:val="00BE6425"/>
    <w:rsid w:val="00BE6947"/>
    <w:rsid w:val="00BE6D14"/>
    <w:rsid w:val="00BE77B7"/>
    <w:rsid w:val="00BF1637"/>
    <w:rsid w:val="00BF2396"/>
    <w:rsid w:val="00BF2EF0"/>
    <w:rsid w:val="00BF3D2A"/>
    <w:rsid w:val="00BF468D"/>
    <w:rsid w:val="00BF493B"/>
    <w:rsid w:val="00BF569A"/>
    <w:rsid w:val="00BF595B"/>
    <w:rsid w:val="00BF6EBD"/>
    <w:rsid w:val="00BF79C2"/>
    <w:rsid w:val="00C0052B"/>
    <w:rsid w:val="00C008A0"/>
    <w:rsid w:val="00C00C2D"/>
    <w:rsid w:val="00C03016"/>
    <w:rsid w:val="00C037F8"/>
    <w:rsid w:val="00C04180"/>
    <w:rsid w:val="00C043AA"/>
    <w:rsid w:val="00C04E13"/>
    <w:rsid w:val="00C05755"/>
    <w:rsid w:val="00C059EA"/>
    <w:rsid w:val="00C05A39"/>
    <w:rsid w:val="00C06310"/>
    <w:rsid w:val="00C067AC"/>
    <w:rsid w:val="00C0683D"/>
    <w:rsid w:val="00C068D8"/>
    <w:rsid w:val="00C10966"/>
    <w:rsid w:val="00C10C98"/>
    <w:rsid w:val="00C10E61"/>
    <w:rsid w:val="00C116F4"/>
    <w:rsid w:val="00C1211E"/>
    <w:rsid w:val="00C13ADB"/>
    <w:rsid w:val="00C14694"/>
    <w:rsid w:val="00C1486C"/>
    <w:rsid w:val="00C149CC"/>
    <w:rsid w:val="00C15E3F"/>
    <w:rsid w:val="00C15F19"/>
    <w:rsid w:val="00C16089"/>
    <w:rsid w:val="00C201CF"/>
    <w:rsid w:val="00C207F1"/>
    <w:rsid w:val="00C21243"/>
    <w:rsid w:val="00C21533"/>
    <w:rsid w:val="00C2264B"/>
    <w:rsid w:val="00C22C79"/>
    <w:rsid w:val="00C2386D"/>
    <w:rsid w:val="00C243EC"/>
    <w:rsid w:val="00C246AD"/>
    <w:rsid w:val="00C24AA4"/>
    <w:rsid w:val="00C251A5"/>
    <w:rsid w:val="00C25882"/>
    <w:rsid w:val="00C260C4"/>
    <w:rsid w:val="00C2634E"/>
    <w:rsid w:val="00C30BB1"/>
    <w:rsid w:val="00C32549"/>
    <w:rsid w:val="00C32673"/>
    <w:rsid w:val="00C3549B"/>
    <w:rsid w:val="00C358C7"/>
    <w:rsid w:val="00C359F3"/>
    <w:rsid w:val="00C36A60"/>
    <w:rsid w:val="00C378AE"/>
    <w:rsid w:val="00C37C3C"/>
    <w:rsid w:val="00C417C6"/>
    <w:rsid w:val="00C429CF"/>
    <w:rsid w:val="00C45438"/>
    <w:rsid w:val="00C455B8"/>
    <w:rsid w:val="00C458E9"/>
    <w:rsid w:val="00C45F4A"/>
    <w:rsid w:val="00C46142"/>
    <w:rsid w:val="00C47054"/>
    <w:rsid w:val="00C474F3"/>
    <w:rsid w:val="00C4781B"/>
    <w:rsid w:val="00C50A56"/>
    <w:rsid w:val="00C50E54"/>
    <w:rsid w:val="00C50F23"/>
    <w:rsid w:val="00C512C1"/>
    <w:rsid w:val="00C51751"/>
    <w:rsid w:val="00C52122"/>
    <w:rsid w:val="00C523BE"/>
    <w:rsid w:val="00C52A44"/>
    <w:rsid w:val="00C530FF"/>
    <w:rsid w:val="00C5417E"/>
    <w:rsid w:val="00C5581D"/>
    <w:rsid w:val="00C55C55"/>
    <w:rsid w:val="00C56E8D"/>
    <w:rsid w:val="00C60318"/>
    <w:rsid w:val="00C60E62"/>
    <w:rsid w:val="00C61CBA"/>
    <w:rsid w:val="00C63275"/>
    <w:rsid w:val="00C64232"/>
    <w:rsid w:val="00C676DB"/>
    <w:rsid w:val="00C67E18"/>
    <w:rsid w:val="00C71038"/>
    <w:rsid w:val="00C7121D"/>
    <w:rsid w:val="00C7129D"/>
    <w:rsid w:val="00C71A17"/>
    <w:rsid w:val="00C73303"/>
    <w:rsid w:val="00C733CB"/>
    <w:rsid w:val="00C74BF9"/>
    <w:rsid w:val="00C75062"/>
    <w:rsid w:val="00C75237"/>
    <w:rsid w:val="00C772E0"/>
    <w:rsid w:val="00C7757B"/>
    <w:rsid w:val="00C817FB"/>
    <w:rsid w:val="00C8185C"/>
    <w:rsid w:val="00C81FB1"/>
    <w:rsid w:val="00C82866"/>
    <w:rsid w:val="00C831EA"/>
    <w:rsid w:val="00C838AB"/>
    <w:rsid w:val="00C8533A"/>
    <w:rsid w:val="00C857DF"/>
    <w:rsid w:val="00C90388"/>
    <w:rsid w:val="00C9140D"/>
    <w:rsid w:val="00C93006"/>
    <w:rsid w:val="00C93A49"/>
    <w:rsid w:val="00C94862"/>
    <w:rsid w:val="00C94EF2"/>
    <w:rsid w:val="00C96015"/>
    <w:rsid w:val="00C96AC4"/>
    <w:rsid w:val="00C970B7"/>
    <w:rsid w:val="00C972F5"/>
    <w:rsid w:val="00C976BD"/>
    <w:rsid w:val="00CA16CE"/>
    <w:rsid w:val="00CA2A74"/>
    <w:rsid w:val="00CA2F59"/>
    <w:rsid w:val="00CA302C"/>
    <w:rsid w:val="00CA46B4"/>
    <w:rsid w:val="00CA46DD"/>
    <w:rsid w:val="00CA5782"/>
    <w:rsid w:val="00CA5CD3"/>
    <w:rsid w:val="00CA5D5E"/>
    <w:rsid w:val="00CA632D"/>
    <w:rsid w:val="00CA6AAD"/>
    <w:rsid w:val="00CA736D"/>
    <w:rsid w:val="00CA7409"/>
    <w:rsid w:val="00CA7E03"/>
    <w:rsid w:val="00CB0156"/>
    <w:rsid w:val="00CB0766"/>
    <w:rsid w:val="00CB0890"/>
    <w:rsid w:val="00CB0CAD"/>
    <w:rsid w:val="00CB1DBE"/>
    <w:rsid w:val="00CB26E9"/>
    <w:rsid w:val="00CB289D"/>
    <w:rsid w:val="00CB2946"/>
    <w:rsid w:val="00CB3E1E"/>
    <w:rsid w:val="00CB3EE8"/>
    <w:rsid w:val="00CB485B"/>
    <w:rsid w:val="00CB4C03"/>
    <w:rsid w:val="00CB4DF9"/>
    <w:rsid w:val="00CB5E4C"/>
    <w:rsid w:val="00CB6488"/>
    <w:rsid w:val="00CB69CC"/>
    <w:rsid w:val="00CB6D27"/>
    <w:rsid w:val="00CB7491"/>
    <w:rsid w:val="00CB7D5B"/>
    <w:rsid w:val="00CC008F"/>
    <w:rsid w:val="00CC0214"/>
    <w:rsid w:val="00CC1135"/>
    <w:rsid w:val="00CC295F"/>
    <w:rsid w:val="00CC4988"/>
    <w:rsid w:val="00CC60B4"/>
    <w:rsid w:val="00CC656F"/>
    <w:rsid w:val="00CC670D"/>
    <w:rsid w:val="00CC6823"/>
    <w:rsid w:val="00CC7657"/>
    <w:rsid w:val="00CD03D9"/>
    <w:rsid w:val="00CD05B4"/>
    <w:rsid w:val="00CD308A"/>
    <w:rsid w:val="00CD37CA"/>
    <w:rsid w:val="00CD41F3"/>
    <w:rsid w:val="00CD4A64"/>
    <w:rsid w:val="00CD5879"/>
    <w:rsid w:val="00CD5E20"/>
    <w:rsid w:val="00CD60E2"/>
    <w:rsid w:val="00CD6108"/>
    <w:rsid w:val="00CD63BB"/>
    <w:rsid w:val="00CD7DAA"/>
    <w:rsid w:val="00CE00F7"/>
    <w:rsid w:val="00CE05CB"/>
    <w:rsid w:val="00CE126F"/>
    <w:rsid w:val="00CE12DC"/>
    <w:rsid w:val="00CE2BF1"/>
    <w:rsid w:val="00CE3727"/>
    <w:rsid w:val="00CE3917"/>
    <w:rsid w:val="00CE5607"/>
    <w:rsid w:val="00CE5860"/>
    <w:rsid w:val="00CE6024"/>
    <w:rsid w:val="00CE6A40"/>
    <w:rsid w:val="00CE7D6B"/>
    <w:rsid w:val="00CE7E07"/>
    <w:rsid w:val="00CF078D"/>
    <w:rsid w:val="00CF0E76"/>
    <w:rsid w:val="00CF0EDC"/>
    <w:rsid w:val="00CF2E48"/>
    <w:rsid w:val="00CF41F8"/>
    <w:rsid w:val="00CF626C"/>
    <w:rsid w:val="00CF6767"/>
    <w:rsid w:val="00D00202"/>
    <w:rsid w:val="00D01B8E"/>
    <w:rsid w:val="00D01BFF"/>
    <w:rsid w:val="00D04815"/>
    <w:rsid w:val="00D05598"/>
    <w:rsid w:val="00D05A2D"/>
    <w:rsid w:val="00D05C87"/>
    <w:rsid w:val="00D06A26"/>
    <w:rsid w:val="00D06A54"/>
    <w:rsid w:val="00D06E18"/>
    <w:rsid w:val="00D07FB4"/>
    <w:rsid w:val="00D102FC"/>
    <w:rsid w:val="00D1095F"/>
    <w:rsid w:val="00D11B26"/>
    <w:rsid w:val="00D12844"/>
    <w:rsid w:val="00D12F6A"/>
    <w:rsid w:val="00D13001"/>
    <w:rsid w:val="00D1357E"/>
    <w:rsid w:val="00D13ADB"/>
    <w:rsid w:val="00D13D1C"/>
    <w:rsid w:val="00D13EFA"/>
    <w:rsid w:val="00D152E6"/>
    <w:rsid w:val="00D15DFB"/>
    <w:rsid w:val="00D15E8D"/>
    <w:rsid w:val="00D1663C"/>
    <w:rsid w:val="00D16FE0"/>
    <w:rsid w:val="00D17727"/>
    <w:rsid w:val="00D17A63"/>
    <w:rsid w:val="00D2074F"/>
    <w:rsid w:val="00D20EFF"/>
    <w:rsid w:val="00D21770"/>
    <w:rsid w:val="00D21C61"/>
    <w:rsid w:val="00D2261B"/>
    <w:rsid w:val="00D22744"/>
    <w:rsid w:val="00D23BA9"/>
    <w:rsid w:val="00D26142"/>
    <w:rsid w:val="00D273A4"/>
    <w:rsid w:val="00D2747D"/>
    <w:rsid w:val="00D27C39"/>
    <w:rsid w:val="00D31BAD"/>
    <w:rsid w:val="00D31F9C"/>
    <w:rsid w:val="00D32AD3"/>
    <w:rsid w:val="00D32F75"/>
    <w:rsid w:val="00D3456E"/>
    <w:rsid w:val="00D352A8"/>
    <w:rsid w:val="00D358D1"/>
    <w:rsid w:val="00D3668B"/>
    <w:rsid w:val="00D407CF"/>
    <w:rsid w:val="00D408DD"/>
    <w:rsid w:val="00D40D7A"/>
    <w:rsid w:val="00D40FFA"/>
    <w:rsid w:val="00D43CE2"/>
    <w:rsid w:val="00D4456C"/>
    <w:rsid w:val="00D45856"/>
    <w:rsid w:val="00D45BDA"/>
    <w:rsid w:val="00D462CA"/>
    <w:rsid w:val="00D46F31"/>
    <w:rsid w:val="00D5184C"/>
    <w:rsid w:val="00D51DFC"/>
    <w:rsid w:val="00D5213E"/>
    <w:rsid w:val="00D5240C"/>
    <w:rsid w:val="00D52722"/>
    <w:rsid w:val="00D530DA"/>
    <w:rsid w:val="00D532C2"/>
    <w:rsid w:val="00D53DD6"/>
    <w:rsid w:val="00D53E63"/>
    <w:rsid w:val="00D5423A"/>
    <w:rsid w:val="00D55483"/>
    <w:rsid w:val="00D55A1E"/>
    <w:rsid w:val="00D55DB7"/>
    <w:rsid w:val="00D565D0"/>
    <w:rsid w:val="00D5738D"/>
    <w:rsid w:val="00D57442"/>
    <w:rsid w:val="00D57870"/>
    <w:rsid w:val="00D6067F"/>
    <w:rsid w:val="00D60CFD"/>
    <w:rsid w:val="00D616EC"/>
    <w:rsid w:val="00D61BCC"/>
    <w:rsid w:val="00D61CBD"/>
    <w:rsid w:val="00D62CCB"/>
    <w:rsid w:val="00D62E84"/>
    <w:rsid w:val="00D63D31"/>
    <w:rsid w:val="00D648BF"/>
    <w:rsid w:val="00D64EFC"/>
    <w:rsid w:val="00D64FD1"/>
    <w:rsid w:val="00D652DA"/>
    <w:rsid w:val="00D65344"/>
    <w:rsid w:val="00D656CB"/>
    <w:rsid w:val="00D6592C"/>
    <w:rsid w:val="00D6661F"/>
    <w:rsid w:val="00D66F4E"/>
    <w:rsid w:val="00D676E7"/>
    <w:rsid w:val="00D67C8C"/>
    <w:rsid w:val="00D71AEB"/>
    <w:rsid w:val="00D72484"/>
    <w:rsid w:val="00D72F69"/>
    <w:rsid w:val="00D7344E"/>
    <w:rsid w:val="00D73B3C"/>
    <w:rsid w:val="00D73F2F"/>
    <w:rsid w:val="00D73FAF"/>
    <w:rsid w:val="00D74133"/>
    <w:rsid w:val="00D74A2E"/>
    <w:rsid w:val="00D74F8E"/>
    <w:rsid w:val="00D75763"/>
    <w:rsid w:val="00D7598B"/>
    <w:rsid w:val="00D75A0D"/>
    <w:rsid w:val="00D76597"/>
    <w:rsid w:val="00D76886"/>
    <w:rsid w:val="00D76914"/>
    <w:rsid w:val="00D779EB"/>
    <w:rsid w:val="00D822AB"/>
    <w:rsid w:val="00D83295"/>
    <w:rsid w:val="00D849DF"/>
    <w:rsid w:val="00D855EE"/>
    <w:rsid w:val="00D85C41"/>
    <w:rsid w:val="00D860EB"/>
    <w:rsid w:val="00D86909"/>
    <w:rsid w:val="00D86E4C"/>
    <w:rsid w:val="00D876CE"/>
    <w:rsid w:val="00D87889"/>
    <w:rsid w:val="00D87DE0"/>
    <w:rsid w:val="00D90460"/>
    <w:rsid w:val="00D91958"/>
    <w:rsid w:val="00D926C1"/>
    <w:rsid w:val="00D92A31"/>
    <w:rsid w:val="00D93426"/>
    <w:rsid w:val="00D94A66"/>
    <w:rsid w:val="00D951E6"/>
    <w:rsid w:val="00D95348"/>
    <w:rsid w:val="00D953EF"/>
    <w:rsid w:val="00D957C8"/>
    <w:rsid w:val="00D95CE3"/>
    <w:rsid w:val="00D96E7B"/>
    <w:rsid w:val="00D97172"/>
    <w:rsid w:val="00D9758B"/>
    <w:rsid w:val="00D97CD1"/>
    <w:rsid w:val="00DA06FE"/>
    <w:rsid w:val="00DA0E2A"/>
    <w:rsid w:val="00DA1068"/>
    <w:rsid w:val="00DA1883"/>
    <w:rsid w:val="00DA1A74"/>
    <w:rsid w:val="00DA1E6D"/>
    <w:rsid w:val="00DA2D35"/>
    <w:rsid w:val="00DA348C"/>
    <w:rsid w:val="00DA407B"/>
    <w:rsid w:val="00DA4F93"/>
    <w:rsid w:val="00DA529A"/>
    <w:rsid w:val="00DA58C1"/>
    <w:rsid w:val="00DA5CED"/>
    <w:rsid w:val="00DA6534"/>
    <w:rsid w:val="00DA6C9B"/>
    <w:rsid w:val="00DA738F"/>
    <w:rsid w:val="00DA7655"/>
    <w:rsid w:val="00DA7677"/>
    <w:rsid w:val="00DB2E7D"/>
    <w:rsid w:val="00DB37E1"/>
    <w:rsid w:val="00DB447F"/>
    <w:rsid w:val="00DB5BA4"/>
    <w:rsid w:val="00DB606D"/>
    <w:rsid w:val="00DB71DD"/>
    <w:rsid w:val="00DB7ADE"/>
    <w:rsid w:val="00DB7B50"/>
    <w:rsid w:val="00DC034C"/>
    <w:rsid w:val="00DC1D3D"/>
    <w:rsid w:val="00DC233A"/>
    <w:rsid w:val="00DC2AC9"/>
    <w:rsid w:val="00DC2ED7"/>
    <w:rsid w:val="00DC3280"/>
    <w:rsid w:val="00DC353F"/>
    <w:rsid w:val="00DC3C25"/>
    <w:rsid w:val="00DC464C"/>
    <w:rsid w:val="00DC69AB"/>
    <w:rsid w:val="00DD123A"/>
    <w:rsid w:val="00DD1387"/>
    <w:rsid w:val="00DD3277"/>
    <w:rsid w:val="00DD3278"/>
    <w:rsid w:val="00DD3B7C"/>
    <w:rsid w:val="00DD4224"/>
    <w:rsid w:val="00DD462A"/>
    <w:rsid w:val="00DD4C05"/>
    <w:rsid w:val="00DD4DBF"/>
    <w:rsid w:val="00DD5FC9"/>
    <w:rsid w:val="00DD64F5"/>
    <w:rsid w:val="00DD68E8"/>
    <w:rsid w:val="00DD7643"/>
    <w:rsid w:val="00DE0874"/>
    <w:rsid w:val="00DE0970"/>
    <w:rsid w:val="00DE18A3"/>
    <w:rsid w:val="00DE2B3D"/>
    <w:rsid w:val="00DE3B8D"/>
    <w:rsid w:val="00DE54F4"/>
    <w:rsid w:val="00DE553F"/>
    <w:rsid w:val="00DE6665"/>
    <w:rsid w:val="00DE7196"/>
    <w:rsid w:val="00DE76D3"/>
    <w:rsid w:val="00DE794A"/>
    <w:rsid w:val="00DE7E1D"/>
    <w:rsid w:val="00DF0ED5"/>
    <w:rsid w:val="00DF10BF"/>
    <w:rsid w:val="00DF2056"/>
    <w:rsid w:val="00DF2D18"/>
    <w:rsid w:val="00DF2FC8"/>
    <w:rsid w:val="00DF3313"/>
    <w:rsid w:val="00DF3B43"/>
    <w:rsid w:val="00DF4050"/>
    <w:rsid w:val="00DF5633"/>
    <w:rsid w:val="00DF56D5"/>
    <w:rsid w:val="00DF6429"/>
    <w:rsid w:val="00DF66FE"/>
    <w:rsid w:val="00DF67A7"/>
    <w:rsid w:val="00DF6D41"/>
    <w:rsid w:val="00E0023B"/>
    <w:rsid w:val="00E008DB"/>
    <w:rsid w:val="00E0166C"/>
    <w:rsid w:val="00E01F90"/>
    <w:rsid w:val="00E025F8"/>
    <w:rsid w:val="00E037FF"/>
    <w:rsid w:val="00E04146"/>
    <w:rsid w:val="00E04329"/>
    <w:rsid w:val="00E043FF"/>
    <w:rsid w:val="00E05685"/>
    <w:rsid w:val="00E0698C"/>
    <w:rsid w:val="00E06B95"/>
    <w:rsid w:val="00E10279"/>
    <w:rsid w:val="00E1050C"/>
    <w:rsid w:val="00E108B9"/>
    <w:rsid w:val="00E11349"/>
    <w:rsid w:val="00E14598"/>
    <w:rsid w:val="00E1501F"/>
    <w:rsid w:val="00E15486"/>
    <w:rsid w:val="00E16F34"/>
    <w:rsid w:val="00E21201"/>
    <w:rsid w:val="00E22323"/>
    <w:rsid w:val="00E2245F"/>
    <w:rsid w:val="00E23146"/>
    <w:rsid w:val="00E23355"/>
    <w:rsid w:val="00E23522"/>
    <w:rsid w:val="00E24548"/>
    <w:rsid w:val="00E256AF"/>
    <w:rsid w:val="00E25A6D"/>
    <w:rsid w:val="00E2654C"/>
    <w:rsid w:val="00E267AF"/>
    <w:rsid w:val="00E26C61"/>
    <w:rsid w:val="00E27A05"/>
    <w:rsid w:val="00E27C7D"/>
    <w:rsid w:val="00E3119D"/>
    <w:rsid w:val="00E321EA"/>
    <w:rsid w:val="00E33DE2"/>
    <w:rsid w:val="00E348CA"/>
    <w:rsid w:val="00E4022E"/>
    <w:rsid w:val="00E40665"/>
    <w:rsid w:val="00E41141"/>
    <w:rsid w:val="00E42998"/>
    <w:rsid w:val="00E44797"/>
    <w:rsid w:val="00E44905"/>
    <w:rsid w:val="00E44EB5"/>
    <w:rsid w:val="00E44F3F"/>
    <w:rsid w:val="00E457B7"/>
    <w:rsid w:val="00E45C9D"/>
    <w:rsid w:val="00E45EE0"/>
    <w:rsid w:val="00E46043"/>
    <w:rsid w:val="00E46F16"/>
    <w:rsid w:val="00E471CE"/>
    <w:rsid w:val="00E47218"/>
    <w:rsid w:val="00E47759"/>
    <w:rsid w:val="00E50175"/>
    <w:rsid w:val="00E507C1"/>
    <w:rsid w:val="00E51F5E"/>
    <w:rsid w:val="00E532A5"/>
    <w:rsid w:val="00E5343B"/>
    <w:rsid w:val="00E541CC"/>
    <w:rsid w:val="00E55A6C"/>
    <w:rsid w:val="00E5600B"/>
    <w:rsid w:val="00E56E37"/>
    <w:rsid w:val="00E602D5"/>
    <w:rsid w:val="00E60404"/>
    <w:rsid w:val="00E60DD6"/>
    <w:rsid w:val="00E6160E"/>
    <w:rsid w:val="00E6245F"/>
    <w:rsid w:val="00E62AF3"/>
    <w:rsid w:val="00E630DD"/>
    <w:rsid w:val="00E6366C"/>
    <w:rsid w:val="00E63765"/>
    <w:rsid w:val="00E63E05"/>
    <w:rsid w:val="00E64459"/>
    <w:rsid w:val="00E64605"/>
    <w:rsid w:val="00E64EA7"/>
    <w:rsid w:val="00E64F09"/>
    <w:rsid w:val="00E65322"/>
    <w:rsid w:val="00E653F0"/>
    <w:rsid w:val="00E7063E"/>
    <w:rsid w:val="00E70EDD"/>
    <w:rsid w:val="00E71387"/>
    <w:rsid w:val="00E725D2"/>
    <w:rsid w:val="00E72BD7"/>
    <w:rsid w:val="00E73334"/>
    <w:rsid w:val="00E743F7"/>
    <w:rsid w:val="00E7549B"/>
    <w:rsid w:val="00E754A1"/>
    <w:rsid w:val="00E7591E"/>
    <w:rsid w:val="00E75EF8"/>
    <w:rsid w:val="00E763B6"/>
    <w:rsid w:val="00E77B43"/>
    <w:rsid w:val="00E77C9E"/>
    <w:rsid w:val="00E77E46"/>
    <w:rsid w:val="00E8007A"/>
    <w:rsid w:val="00E80702"/>
    <w:rsid w:val="00E814EC"/>
    <w:rsid w:val="00E81724"/>
    <w:rsid w:val="00E826EA"/>
    <w:rsid w:val="00E84019"/>
    <w:rsid w:val="00E840C4"/>
    <w:rsid w:val="00E84693"/>
    <w:rsid w:val="00E8527A"/>
    <w:rsid w:val="00E85936"/>
    <w:rsid w:val="00E85BF9"/>
    <w:rsid w:val="00E860F7"/>
    <w:rsid w:val="00E86234"/>
    <w:rsid w:val="00E87C3E"/>
    <w:rsid w:val="00E927E9"/>
    <w:rsid w:val="00E928B8"/>
    <w:rsid w:val="00E92E4F"/>
    <w:rsid w:val="00E937D8"/>
    <w:rsid w:val="00E93A5E"/>
    <w:rsid w:val="00E93FBE"/>
    <w:rsid w:val="00E941C1"/>
    <w:rsid w:val="00E972C2"/>
    <w:rsid w:val="00EA1827"/>
    <w:rsid w:val="00EA1D3A"/>
    <w:rsid w:val="00EA25B7"/>
    <w:rsid w:val="00EA2BEA"/>
    <w:rsid w:val="00EA38FD"/>
    <w:rsid w:val="00EA397F"/>
    <w:rsid w:val="00EA3BD3"/>
    <w:rsid w:val="00EA5208"/>
    <w:rsid w:val="00EA58B6"/>
    <w:rsid w:val="00EB04DE"/>
    <w:rsid w:val="00EB15A5"/>
    <w:rsid w:val="00EB1BBC"/>
    <w:rsid w:val="00EB2330"/>
    <w:rsid w:val="00EB2544"/>
    <w:rsid w:val="00EB2A09"/>
    <w:rsid w:val="00EB2C89"/>
    <w:rsid w:val="00EB3415"/>
    <w:rsid w:val="00EB4CA2"/>
    <w:rsid w:val="00EB4E0E"/>
    <w:rsid w:val="00EB74F0"/>
    <w:rsid w:val="00EB75F5"/>
    <w:rsid w:val="00EC0742"/>
    <w:rsid w:val="00EC0A8F"/>
    <w:rsid w:val="00EC0F3E"/>
    <w:rsid w:val="00EC1058"/>
    <w:rsid w:val="00EC1CF9"/>
    <w:rsid w:val="00EC21AF"/>
    <w:rsid w:val="00EC3368"/>
    <w:rsid w:val="00EC3482"/>
    <w:rsid w:val="00EC3999"/>
    <w:rsid w:val="00EC3B9D"/>
    <w:rsid w:val="00EC3C8E"/>
    <w:rsid w:val="00EC5898"/>
    <w:rsid w:val="00EC6902"/>
    <w:rsid w:val="00EC7ADE"/>
    <w:rsid w:val="00EC7FBE"/>
    <w:rsid w:val="00ED0EE5"/>
    <w:rsid w:val="00ED0F55"/>
    <w:rsid w:val="00ED1E97"/>
    <w:rsid w:val="00ED298A"/>
    <w:rsid w:val="00ED33E6"/>
    <w:rsid w:val="00ED3A06"/>
    <w:rsid w:val="00ED46DD"/>
    <w:rsid w:val="00ED48DD"/>
    <w:rsid w:val="00ED5BD6"/>
    <w:rsid w:val="00ED5FAC"/>
    <w:rsid w:val="00ED7141"/>
    <w:rsid w:val="00ED7900"/>
    <w:rsid w:val="00EE00F7"/>
    <w:rsid w:val="00EE2319"/>
    <w:rsid w:val="00EE4A15"/>
    <w:rsid w:val="00EE62BB"/>
    <w:rsid w:val="00EE75AF"/>
    <w:rsid w:val="00EE7700"/>
    <w:rsid w:val="00EE7DC6"/>
    <w:rsid w:val="00EF1D5B"/>
    <w:rsid w:val="00EF2646"/>
    <w:rsid w:val="00EF28EA"/>
    <w:rsid w:val="00EF2D9A"/>
    <w:rsid w:val="00EF41D2"/>
    <w:rsid w:val="00EF4374"/>
    <w:rsid w:val="00EF4F65"/>
    <w:rsid w:val="00EF6E3E"/>
    <w:rsid w:val="00EF7959"/>
    <w:rsid w:val="00EF7BED"/>
    <w:rsid w:val="00F00622"/>
    <w:rsid w:val="00F0103F"/>
    <w:rsid w:val="00F01138"/>
    <w:rsid w:val="00F014EC"/>
    <w:rsid w:val="00F02318"/>
    <w:rsid w:val="00F023E1"/>
    <w:rsid w:val="00F0267C"/>
    <w:rsid w:val="00F04271"/>
    <w:rsid w:val="00F05505"/>
    <w:rsid w:val="00F0592E"/>
    <w:rsid w:val="00F06175"/>
    <w:rsid w:val="00F06B0F"/>
    <w:rsid w:val="00F06B54"/>
    <w:rsid w:val="00F07033"/>
    <w:rsid w:val="00F07409"/>
    <w:rsid w:val="00F10A2A"/>
    <w:rsid w:val="00F12D34"/>
    <w:rsid w:val="00F1354B"/>
    <w:rsid w:val="00F1481F"/>
    <w:rsid w:val="00F14C92"/>
    <w:rsid w:val="00F15219"/>
    <w:rsid w:val="00F169AC"/>
    <w:rsid w:val="00F17D68"/>
    <w:rsid w:val="00F2010C"/>
    <w:rsid w:val="00F203B6"/>
    <w:rsid w:val="00F21653"/>
    <w:rsid w:val="00F21654"/>
    <w:rsid w:val="00F2322C"/>
    <w:rsid w:val="00F23A47"/>
    <w:rsid w:val="00F23B45"/>
    <w:rsid w:val="00F242CA"/>
    <w:rsid w:val="00F25AEB"/>
    <w:rsid w:val="00F26348"/>
    <w:rsid w:val="00F2666F"/>
    <w:rsid w:val="00F2698E"/>
    <w:rsid w:val="00F30F52"/>
    <w:rsid w:val="00F319BA"/>
    <w:rsid w:val="00F31FB4"/>
    <w:rsid w:val="00F328DD"/>
    <w:rsid w:val="00F35175"/>
    <w:rsid w:val="00F35D01"/>
    <w:rsid w:val="00F3628C"/>
    <w:rsid w:val="00F40429"/>
    <w:rsid w:val="00F4047C"/>
    <w:rsid w:val="00F40839"/>
    <w:rsid w:val="00F433C8"/>
    <w:rsid w:val="00F4362F"/>
    <w:rsid w:val="00F45ADB"/>
    <w:rsid w:val="00F45CA7"/>
    <w:rsid w:val="00F47065"/>
    <w:rsid w:val="00F4772B"/>
    <w:rsid w:val="00F512E2"/>
    <w:rsid w:val="00F513FE"/>
    <w:rsid w:val="00F51455"/>
    <w:rsid w:val="00F52254"/>
    <w:rsid w:val="00F5364A"/>
    <w:rsid w:val="00F53A1E"/>
    <w:rsid w:val="00F54092"/>
    <w:rsid w:val="00F5409C"/>
    <w:rsid w:val="00F55640"/>
    <w:rsid w:val="00F558F9"/>
    <w:rsid w:val="00F55BE4"/>
    <w:rsid w:val="00F56CA1"/>
    <w:rsid w:val="00F57958"/>
    <w:rsid w:val="00F57AA7"/>
    <w:rsid w:val="00F6093D"/>
    <w:rsid w:val="00F60DB4"/>
    <w:rsid w:val="00F61116"/>
    <w:rsid w:val="00F6341A"/>
    <w:rsid w:val="00F64AC1"/>
    <w:rsid w:val="00F64CD5"/>
    <w:rsid w:val="00F656A1"/>
    <w:rsid w:val="00F66349"/>
    <w:rsid w:val="00F6671E"/>
    <w:rsid w:val="00F674A2"/>
    <w:rsid w:val="00F701C6"/>
    <w:rsid w:val="00F70733"/>
    <w:rsid w:val="00F70A57"/>
    <w:rsid w:val="00F728D5"/>
    <w:rsid w:val="00F73CC6"/>
    <w:rsid w:val="00F740DD"/>
    <w:rsid w:val="00F75784"/>
    <w:rsid w:val="00F75CCD"/>
    <w:rsid w:val="00F7658A"/>
    <w:rsid w:val="00F765CB"/>
    <w:rsid w:val="00F7691F"/>
    <w:rsid w:val="00F7721B"/>
    <w:rsid w:val="00F77B4C"/>
    <w:rsid w:val="00F77D39"/>
    <w:rsid w:val="00F8034F"/>
    <w:rsid w:val="00F82661"/>
    <w:rsid w:val="00F84705"/>
    <w:rsid w:val="00F84EF4"/>
    <w:rsid w:val="00F8538D"/>
    <w:rsid w:val="00F861D0"/>
    <w:rsid w:val="00F86CDC"/>
    <w:rsid w:val="00F8730B"/>
    <w:rsid w:val="00F879D1"/>
    <w:rsid w:val="00F906A6"/>
    <w:rsid w:val="00F915CD"/>
    <w:rsid w:val="00F91F0C"/>
    <w:rsid w:val="00F92532"/>
    <w:rsid w:val="00F927CC"/>
    <w:rsid w:val="00F9290D"/>
    <w:rsid w:val="00F92E19"/>
    <w:rsid w:val="00F92F23"/>
    <w:rsid w:val="00F92F36"/>
    <w:rsid w:val="00F936DF"/>
    <w:rsid w:val="00F9420A"/>
    <w:rsid w:val="00F94534"/>
    <w:rsid w:val="00F94C5F"/>
    <w:rsid w:val="00F950CD"/>
    <w:rsid w:val="00F951F5"/>
    <w:rsid w:val="00F954F3"/>
    <w:rsid w:val="00F957EE"/>
    <w:rsid w:val="00F960F3"/>
    <w:rsid w:val="00F96B45"/>
    <w:rsid w:val="00F97B5D"/>
    <w:rsid w:val="00FA1604"/>
    <w:rsid w:val="00FA2DE0"/>
    <w:rsid w:val="00FA3012"/>
    <w:rsid w:val="00FA385F"/>
    <w:rsid w:val="00FA4034"/>
    <w:rsid w:val="00FA43AC"/>
    <w:rsid w:val="00FA5D7F"/>
    <w:rsid w:val="00FA64DE"/>
    <w:rsid w:val="00FA66EC"/>
    <w:rsid w:val="00FA6AD8"/>
    <w:rsid w:val="00FA6F30"/>
    <w:rsid w:val="00FA7A65"/>
    <w:rsid w:val="00FA7AFF"/>
    <w:rsid w:val="00FB144A"/>
    <w:rsid w:val="00FB1B0C"/>
    <w:rsid w:val="00FB27C6"/>
    <w:rsid w:val="00FB2A67"/>
    <w:rsid w:val="00FB2AD0"/>
    <w:rsid w:val="00FB331F"/>
    <w:rsid w:val="00FB4D26"/>
    <w:rsid w:val="00FB4DF2"/>
    <w:rsid w:val="00FB5DEB"/>
    <w:rsid w:val="00FB63A9"/>
    <w:rsid w:val="00FB6464"/>
    <w:rsid w:val="00FB715F"/>
    <w:rsid w:val="00FB73FC"/>
    <w:rsid w:val="00FC10EF"/>
    <w:rsid w:val="00FC14F5"/>
    <w:rsid w:val="00FC14FB"/>
    <w:rsid w:val="00FC157D"/>
    <w:rsid w:val="00FC168F"/>
    <w:rsid w:val="00FC26B0"/>
    <w:rsid w:val="00FC28A3"/>
    <w:rsid w:val="00FC361A"/>
    <w:rsid w:val="00FC3B70"/>
    <w:rsid w:val="00FC3FCF"/>
    <w:rsid w:val="00FC46E5"/>
    <w:rsid w:val="00FC5A3E"/>
    <w:rsid w:val="00FC5F4F"/>
    <w:rsid w:val="00FC7204"/>
    <w:rsid w:val="00FC790D"/>
    <w:rsid w:val="00FD0902"/>
    <w:rsid w:val="00FD190C"/>
    <w:rsid w:val="00FD2151"/>
    <w:rsid w:val="00FD331E"/>
    <w:rsid w:val="00FD3AA6"/>
    <w:rsid w:val="00FD4D4B"/>
    <w:rsid w:val="00FD4ED8"/>
    <w:rsid w:val="00FD5F06"/>
    <w:rsid w:val="00FD6BE2"/>
    <w:rsid w:val="00FD6C2E"/>
    <w:rsid w:val="00FD7956"/>
    <w:rsid w:val="00FE01A8"/>
    <w:rsid w:val="00FE0B2B"/>
    <w:rsid w:val="00FE0D0F"/>
    <w:rsid w:val="00FE0FAD"/>
    <w:rsid w:val="00FE12CE"/>
    <w:rsid w:val="00FE1AE1"/>
    <w:rsid w:val="00FE2140"/>
    <w:rsid w:val="00FE23C4"/>
    <w:rsid w:val="00FE24D4"/>
    <w:rsid w:val="00FE26A3"/>
    <w:rsid w:val="00FE2F44"/>
    <w:rsid w:val="00FE4492"/>
    <w:rsid w:val="00FE5935"/>
    <w:rsid w:val="00FE5B3C"/>
    <w:rsid w:val="00FE693E"/>
    <w:rsid w:val="00FE7C37"/>
    <w:rsid w:val="00FE7C80"/>
    <w:rsid w:val="00FE7F36"/>
    <w:rsid w:val="00FF0C93"/>
    <w:rsid w:val="00FF1017"/>
    <w:rsid w:val="00FF135C"/>
    <w:rsid w:val="00FF13BC"/>
    <w:rsid w:val="00FF4904"/>
    <w:rsid w:val="00FF56DD"/>
    <w:rsid w:val="00FF5887"/>
    <w:rsid w:val="00FF5BD5"/>
    <w:rsid w:val="00FF5DA7"/>
    <w:rsid w:val="00FF6B96"/>
    <w:rsid w:val="00FF7CE7"/>
    <w:rsid w:val="00FF7FF2"/>
    <w:rsid w:val="0114273D"/>
    <w:rsid w:val="013684AB"/>
    <w:rsid w:val="016A1F37"/>
    <w:rsid w:val="01D175E4"/>
    <w:rsid w:val="022E5A10"/>
    <w:rsid w:val="03B527D3"/>
    <w:rsid w:val="03CF6996"/>
    <w:rsid w:val="04719F86"/>
    <w:rsid w:val="0491DB64"/>
    <w:rsid w:val="04A323B4"/>
    <w:rsid w:val="04F6DF78"/>
    <w:rsid w:val="052974EA"/>
    <w:rsid w:val="0566B448"/>
    <w:rsid w:val="0581FD67"/>
    <w:rsid w:val="059EA5C6"/>
    <w:rsid w:val="0617CAF9"/>
    <w:rsid w:val="067603EC"/>
    <w:rsid w:val="06A209D3"/>
    <w:rsid w:val="0746B3AA"/>
    <w:rsid w:val="07E8D324"/>
    <w:rsid w:val="084BF318"/>
    <w:rsid w:val="08603CEE"/>
    <w:rsid w:val="08711BAF"/>
    <w:rsid w:val="0881B554"/>
    <w:rsid w:val="088FC12C"/>
    <w:rsid w:val="08CA939C"/>
    <w:rsid w:val="08D69BDE"/>
    <w:rsid w:val="09102496"/>
    <w:rsid w:val="096D9791"/>
    <w:rsid w:val="096F0C82"/>
    <w:rsid w:val="09F7AA98"/>
    <w:rsid w:val="0A632580"/>
    <w:rsid w:val="0B403211"/>
    <w:rsid w:val="0B9051CB"/>
    <w:rsid w:val="0BD1249B"/>
    <w:rsid w:val="0BDEC0FF"/>
    <w:rsid w:val="0BF29325"/>
    <w:rsid w:val="0C8347AC"/>
    <w:rsid w:val="0C923B32"/>
    <w:rsid w:val="0CD12101"/>
    <w:rsid w:val="0CF02CB1"/>
    <w:rsid w:val="0D46EA7F"/>
    <w:rsid w:val="0D73E098"/>
    <w:rsid w:val="0D951E99"/>
    <w:rsid w:val="0DA5E257"/>
    <w:rsid w:val="0DCC2C0B"/>
    <w:rsid w:val="0E03534A"/>
    <w:rsid w:val="0EC35284"/>
    <w:rsid w:val="0F1894CF"/>
    <w:rsid w:val="0F92AB4B"/>
    <w:rsid w:val="0FAABFDA"/>
    <w:rsid w:val="0FCCA2D4"/>
    <w:rsid w:val="0FFE0898"/>
    <w:rsid w:val="0FFE7C7E"/>
    <w:rsid w:val="10451BBC"/>
    <w:rsid w:val="10DFEBC6"/>
    <w:rsid w:val="11C22252"/>
    <w:rsid w:val="120872CE"/>
    <w:rsid w:val="12314B24"/>
    <w:rsid w:val="1232E1A3"/>
    <w:rsid w:val="1299839D"/>
    <w:rsid w:val="12ECABC1"/>
    <w:rsid w:val="132D3B23"/>
    <w:rsid w:val="133CAF33"/>
    <w:rsid w:val="13D4EBEA"/>
    <w:rsid w:val="149B4CE6"/>
    <w:rsid w:val="14D8FCFB"/>
    <w:rsid w:val="15625162"/>
    <w:rsid w:val="1606415F"/>
    <w:rsid w:val="160FAA11"/>
    <w:rsid w:val="165EAB61"/>
    <w:rsid w:val="1695ED38"/>
    <w:rsid w:val="170F387C"/>
    <w:rsid w:val="1761EA24"/>
    <w:rsid w:val="17BE9731"/>
    <w:rsid w:val="17C63FB4"/>
    <w:rsid w:val="17DA37F3"/>
    <w:rsid w:val="17FB8465"/>
    <w:rsid w:val="1808474B"/>
    <w:rsid w:val="182C7824"/>
    <w:rsid w:val="18AA38AE"/>
    <w:rsid w:val="18BF6D83"/>
    <w:rsid w:val="18E051A7"/>
    <w:rsid w:val="18F35CF3"/>
    <w:rsid w:val="18F54FB5"/>
    <w:rsid w:val="19380550"/>
    <w:rsid w:val="19892539"/>
    <w:rsid w:val="199CE5B3"/>
    <w:rsid w:val="1A0AA3FB"/>
    <w:rsid w:val="1A0DEDA8"/>
    <w:rsid w:val="1A11709E"/>
    <w:rsid w:val="1A35F019"/>
    <w:rsid w:val="1A921420"/>
    <w:rsid w:val="1AA9AE84"/>
    <w:rsid w:val="1ABD18F0"/>
    <w:rsid w:val="1B0CC3C8"/>
    <w:rsid w:val="1B67E862"/>
    <w:rsid w:val="1B8878D6"/>
    <w:rsid w:val="1BBFC284"/>
    <w:rsid w:val="1C043159"/>
    <w:rsid w:val="1C3289F0"/>
    <w:rsid w:val="1C3EE448"/>
    <w:rsid w:val="1CECEDC8"/>
    <w:rsid w:val="1CF55C51"/>
    <w:rsid w:val="1D11C760"/>
    <w:rsid w:val="1D4465C3"/>
    <w:rsid w:val="1D6DB3F2"/>
    <w:rsid w:val="1D76BC7B"/>
    <w:rsid w:val="1DCDEAD4"/>
    <w:rsid w:val="1E03A3F6"/>
    <w:rsid w:val="1EBC7CD4"/>
    <w:rsid w:val="1EF9D367"/>
    <w:rsid w:val="1F259C49"/>
    <w:rsid w:val="1F4DDF27"/>
    <w:rsid w:val="1FABEF12"/>
    <w:rsid w:val="1FF41D46"/>
    <w:rsid w:val="2049E625"/>
    <w:rsid w:val="206E3024"/>
    <w:rsid w:val="209225D4"/>
    <w:rsid w:val="209AB609"/>
    <w:rsid w:val="20F3A8FD"/>
    <w:rsid w:val="213CC5E2"/>
    <w:rsid w:val="21625A1C"/>
    <w:rsid w:val="2190C803"/>
    <w:rsid w:val="21996482"/>
    <w:rsid w:val="21F7A8ED"/>
    <w:rsid w:val="22442D92"/>
    <w:rsid w:val="2262368F"/>
    <w:rsid w:val="23091836"/>
    <w:rsid w:val="23181822"/>
    <w:rsid w:val="233A4D90"/>
    <w:rsid w:val="237242EE"/>
    <w:rsid w:val="23B227C0"/>
    <w:rsid w:val="242FF77D"/>
    <w:rsid w:val="2449C9DE"/>
    <w:rsid w:val="24B6F1BB"/>
    <w:rsid w:val="258BA295"/>
    <w:rsid w:val="259F3DFC"/>
    <w:rsid w:val="25C54119"/>
    <w:rsid w:val="25CA6808"/>
    <w:rsid w:val="261737DD"/>
    <w:rsid w:val="266E60EB"/>
    <w:rsid w:val="26709F28"/>
    <w:rsid w:val="2683C3DB"/>
    <w:rsid w:val="26992A1A"/>
    <w:rsid w:val="26A5AFAB"/>
    <w:rsid w:val="2887F282"/>
    <w:rsid w:val="289B3150"/>
    <w:rsid w:val="289F5A39"/>
    <w:rsid w:val="28B61B6A"/>
    <w:rsid w:val="28EEAE6F"/>
    <w:rsid w:val="28FBE3BC"/>
    <w:rsid w:val="295D0342"/>
    <w:rsid w:val="2A0D8B26"/>
    <w:rsid w:val="2B0867BC"/>
    <w:rsid w:val="2B3C9493"/>
    <w:rsid w:val="2BA82F29"/>
    <w:rsid w:val="2C191C83"/>
    <w:rsid w:val="2C43265B"/>
    <w:rsid w:val="2D209A8A"/>
    <w:rsid w:val="2D3056D5"/>
    <w:rsid w:val="2DA9A27F"/>
    <w:rsid w:val="2DB88945"/>
    <w:rsid w:val="2DC6CDA6"/>
    <w:rsid w:val="2DD214EC"/>
    <w:rsid w:val="2E03856D"/>
    <w:rsid w:val="2E0C0A2C"/>
    <w:rsid w:val="2E168112"/>
    <w:rsid w:val="2EA5EC5A"/>
    <w:rsid w:val="2F42C4A7"/>
    <w:rsid w:val="2F783EED"/>
    <w:rsid w:val="2FB1EE5B"/>
    <w:rsid w:val="2FF9ADC2"/>
    <w:rsid w:val="3031734C"/>
    <w:rsid w:val="312C5758"/>
    <w:rsid w:val="314D9EEC"/>
    <w:rsid w:val="315967BE"/>
    <w:rsid w:val="31803035"/>
    <w:rsid w:val="319826C1"/>
    <w:rsid w:val="31B4F4BE"/>
    <w:rsid w:val="3271CCBC"/>
    <w:rsid w:val="3274A444"/>
    <w:rsid w:val="328E0AFE"/>
    <w:rsid w:val="32EE0D4B"/>
    <w:rsid w:val="33427F5F"/>
    <w:rsid w:val="33ABDF6D"/>
    <w:rsid w:val="33C21C70"/>
    <w:rsid w:val="34253227"/>
    <w:rsid w:val="344BAF29"/>
    <w:rsid w:val="3479A48C"/>
    <w:rsid w:val="34F2E040"/>
    <w:rsid w:val="361F0A24"/>
    <w:rsid w:val="367428DA"/>
    <w:rsid w:val="3676B94C"/>
    <w:rsid w:val="3691BD2B"/>
    <w:rsid w:val="369EBCE7"/>
    <w:rsid w:val="36CA732E"/>
    <w:rsid w:val="371AB282"/>
    <w:rsid w:val="3732A067"/>
    <w:rsid w:val="37BE2BD2"/>
    <w:rsid w:val="3972E42E"/>
    <w:rsid w:val="39871093"/>
    <w:rsid w:val="39C664A4"/>
    <w:rsid w:val="3A10B24D"/>
    <w:rsid w:val="3AE14AD5"/>
    <w:rsid w:val="3B052B31"/>
    <w:rsid w:val="3B30A4BF"/>
    <w:rsid w:val="3B9972B5"/>
    <w:rsid w:val="3BC43E35"/>
    <w:rsid w:val="3C357F3A"/>
    <w:rsid w:val="3C3624D9"/>
    <w:rsid w:val="3C633342"/>
    <w:rsid w:val="3C9C972D"/>
    <w:rsid w:val="3CB42CB9"/>
    <w:rsid w:val="3CCB284A"/>
    <w:rsid w:val="3CE88C77"/>
    <w:rsid w:val="3CF5A89B"/>
    <w:rsid w:val="3D332B91"/>
    <w:rsid w:val="3D71BCDC"/>
    <w:rsid w:val="3D847DB8"/>
    <w:rsid w:val="3D8DBC30"/>
    <w:rsid w:val="3D9F458A"/>
    <w:rsid w:val="3E3FEF88"/>
    <w:rsid w:val="3E56A647"/>
    <w:rsid w:val="3EBE1E88"/>
    <w:rsid w:val="3FD10EB1"/>
    <w:rsid w:val="3FF50191"/>
    <w:rsid w:val="405DAE55"/>
    <w:rsid w:val="4075BAE1"/>
    <w:rsid w:val="4087757F"/>
    <w:rsid w:val="41157565"/>
    <w:rsid w:val="411600FA"/>
    <w:rsid w:val="422C95BB"/>
    <w:rsid w:val="4249886D"/>
    <w:rsid w:val="42FC26BD"/>
    <w:rsid w:val="438A67C3"/>
    <w:rsid w:val="43AEB114"/>
    <w:rsid w:val="43EC87F5"/>
    <w:rsid w:val="4599B82A"/>
    <w:rsid w:val="4602B8E9"/>
    <w:rsid w:val="4642FE45"/>
    <w:rsid w:val="464799F2"/>
    <w:rsid w:val="4670239B"/>
    <w:rsid w:val="46D09FDE"/>
    <w:rsid w:val="4742A309"/>
    <w:rsid w:val="4757900B"/>
    <w:rsid w:val="47AF8B53"/>
    <w:rsid w:val="47DCE80B"/>
    <w:rsid w:val="47F3A51E"/>
    <w:rsid w:val="486FF571"/>
    <w:rsid w:val="48E7C84C"/>
    <w:rsid w:val="4955872C"/>
    <w:rsid w:val="4958C970"/>
    <w:rsid w:val="49DC021F"/>
    <w:rsid w:val="4A082EF6"/>
    <w:rsid w:val="4A89EC78"/>
    <w:rsid w:val="4AE75292"/>
    <w:rsid w:val="4B74ED51"/>
    <w:rsid w:val="4BB1A2EB"/>
    <w:rsid w:val="4C3E9805"/>
    <w:rsid w:val="4D147FB4"/>
    <w:rsid w:val="4D1C6B3A"/>
    <w:rsid w:val="4ED5BF9F"/>
    <w:rsid w:val="4EE772DC"/>
    <w:rsid w:val="4EEA5FDE"/>
    <w:rsid w:val="4EF73C5D"/>
    <w:rsid w:val="4EF959C5"/>
    <w:rsid w:val="4EFF20E5"/>
    <w:rsid w:val="4F549652"/>
    <w:rsid w:val="4FAFB7A7"/>
    <w:rsid w:val="4FD0B046"/>
    <w:rsid w:val="5005D8EB"/>
    <w:rsid w:val="500C895C"/>
    <w:rsid w:val="502ACA0E"/>
    <w:rsid w:val="50634C40"/>
    <w:rsid w:val="51F7BFBD"/>
    <w:rsid w:val="524443B6"/>
    <w:rsid w:val="52501456"/>
    <w:rsid w:val="52A9230B"/>
    <w:rsid w:val="52DE2059"/>
    <w:rsid w:val="52FDBBAF"/>
    <w:rsid w:val="5329F044"/>
    <w:rsid w:val="53F8F339"/>
    <w:rsid w:val="54633857"/>
    <w:rsid w:val="54B1D29C"/>
    <w:rsid w:val="54D50207"/>
    <w:rsid w:val="555ECB78"/>
    <w:rsid w:val="55A05364"/>
    <w:rsid w:val="55C77D9A"/>
    <w:rsid w:val="55E2C73C"/>
    <w:rsid w:val="561040B4"/>
    <w:rsid w:val="56BC69A5"/>
    <w:rsid w:val="5733528A"/>
    <w:rsid w:val="5733CA11"/>
    <w:rsid w:val="5751D6F5"/>
    <w:rsid w:val="575561D2"/>
    <w:rsid w:val="5774BC47"/>
    <w:rsid w:val="580ADC26"/>
    <w:rsid w:val="583DEB13"/>
    <w:rsid w:val="58532673"/>
    <w:rsid w:val="58C85918"/>
    <w:rsid w:val="594724DE"/>
    <w:rsid w:val="59A45858"/>
    <w:rsid w:val="5B0C6283"/>
    <w:rsid w:val="5B15B66E"/>
    <w:rsid w:val="5B3DF54A"/>
    <w:rsid w:val="5B3EFF1B"/>
    <w:rsid w:val="5B468988"/>
    <w:rsid w:val="5B613399"/>
    <w:rsid w:val="5BF492B5"/>
    <w:rsid w:val="5C024211"/>
    <w:rsid w:val="5C1FBF2C"/>
    <w:rsid w:val="5C23A35E"/>
    <w:rsid w:val="5C8BB7FE"/>
    <w:rsid w:val="5C905797"/>
    <w:rsid w:val="5CEC6E71"/>
    <w:rsid w:val="5D8BA99F"/>
    <w:rsid w:val="5DF6BE17"/>
    <w:rsid w:val="5E203080"/>
    <w:rsid w:val="5E7326F6"/>
    <w:rsid w:val="5E8A4B01"/>
    <w:rsid w:val="5E9BDCC8"/>
    <w:rsid w:val="5ED5855E"/>
    <w:rsid w:val="5ED67164"/>
    <w:rsid w:val="5EDCA52B"/>
    <w:rsid w:val="5F142DC0"/>
    <w:rsid w:val="5F4AB63D"/>
    <w:rsid w:val="5F9923ED"/>
    <w:rsid w:val="60B63257"/>
    <w:rsid w:val="60CA07AC"/>
    <w:rsid w:val="60F76E5E"/>
    <w:rsid w:val="610D4C7F"/>
    <w:rsid w:val="61AEA0E8"/>
    <w:rsid w:val="62592851"/>
    <w:rsid w:val="62D1A4E7"/>
    <w:rsid w:val="62EC1BC0"/>
    <w:rsid w:val="6346E36E"/>
    <w:rsid w:val="63F328DE"/>
    <w:rsid w:val="645150F0"/>
    <w:rsid w:val="649BD121"/>
    <w:rsid w:val="657A96DF"/>
    <w:rsid w:val="6606186C"/>
    <w:rsid w:val="663AA83E"/>
    <w:rsid w:val="6678B677"/>
    <w:rsid w:val="6687AFEA"/>
    <w:rsid w:val="668D20F6"/>
    <w:rsid w:val="668D2F9B"/>
    <w:rsid w:val="669CC956"/>
    <w:rsid w:val="669DF96F"/>
    <w:rsid w:val="669DFD7F"/>
    <w:rsid w:val="66E5B754"/>
    <w:rsid w:val="66EDD177"/>
    <w:rsid w:val="674D010C"/>
    <w:rsid w:val="67A9F364"/>
    <w:rsid w:val="67B1140B"/>
    <w:rsid w:val="68BFEFF1"/>
    <w:rsid w:val="68FBBBE7"/>
    <w:rsid w:val="69188E60"/>
    <w:rsid w:val="69688DC8"/>
    <w:rsid w:val="69C3FBA0"/>
    <w:rsid w:val="69E312B8"/>
    <w:rsid w:val="69F63E9C"/>
    <w:rsid w:val="6A4ED050"/>
    <w:rsid w:val="6AD3ED9E"/>
    <w:rsid w:val="6AD5EB40"/>
    <w:rsid w:val="6B3A02C7"/>
    <w:rsid w:val="6B5BF6EA"/>
    <w:rsid w:val="6B7ED7D4"/>
    <w:rsid w:val="6BF3C7A9"/>
    <w:rsid w:val="6BF98ECC"/>
    <w:rsid w:val="6C193C43"/>
    <w:rsid w:val="6C3F2613"/>
    <w:rsid w:val="6C520115"/>
    <w:rsid w:val="6C637658"/>
    <w:rsid w:val="6C8529A9"/>
    <w:rsid w:val="6CC97315"/>
    <w:rsid w:val="6D09542B"/>
    <w:rsid w:val="6D3B9E06"/>
    <w:rsid w:val="6D4B0BB4"/>
    <w:rsid w:val="6D59B5F9"/>
    <w:rsid w:val="6D84E209"/>
    <w:rsid w:val="6DA1FC96"/>
    <w:rsid w:val="6DC85651"/>
    <w:rsid w:val="6DC89B7F"/>
    <w:rsid w:val="6DD1B0B0"/>
    <w:rsid w:val="6E106A98"/>
    <w:rsid w:val="6E47AADB"/>
    <w:rsid w:val="6E5D8AE1"/>
    <w:rsid w:val="6F8EBC83"/>
    <w:rsid w:val="70044FC0"/>
    <w:rsid w:val="70CC4C2D"/>
    <w:rsid w:val="70F02F03"/>
    <w:rsid w:val="71175FDD"/>
    <w:rsid w:val="71272712"/>
    <w:rsid w:val="71360376"/>
    <w:rsid w:val="720DBA64"/>
    <w:rsid w:val="7285B7F1"/>
    <w:rsid w:val="730D376B"/>
    <w:rsid w:val="731BE3DB"/>
    <w:rsid w:val="7350DCBD"/>
    <w:rsid w:val="73A43541"/>
    <w:rsid w:val="740E5394"/>
    <w:rsid w:val="741DC1B4"/>
    <w:rsid w:val="74BC840A"/>
    <w:rsid w:val="74C0346B"/>
    <w:rsid w:val="7525083E"/>
    <w:rsid w:val="7538BA2D"/>
    <w:rsid w:val="753923B8"/>
    <w:rsid w:val="757F73AD"/>
    <w:rsid w:val="75CCFE68"/>
    <w:rsid w:val="761B2584"/>
    <w:rsid w:val="770766FD"/>
    <w:rsid w:val="772BE50E"/>
    <w:rsid w:val="772ECDAC"/>
    <w:rsid w:val="775CA8FD"/>
    <w:rsid w:val="776B21D6"/>
    <w:rsid w:val="77C81343"/>
    <w:rsid w:val="77D7AEA1"/>
    <w:rsid w:val="788A2533"/>
    <w:rsid w:val="78CC0015"/>
    <w:rsid w:val="790C2E5A"/>
    <w:rsid w:val="7AC48DA5"/>
    <w:rsid w:val="7B35E68F"/>
    <w:rsid w:val="7B7F758A"/>
    <w:rsid w:val="7BDA0661"/>
    <w:rsid w:val="7BE659E4"/>
    <w:rsid w:val="7C118579"/>
    <w:rsid w:val="7CFCD184"/>
    <w:rsid w:val="7D419A9C"/>
    <w:rsid w:val="7DB019C2"/>
    <w:rsid w:val="7DF6B060"/>
    <w:rsid w:val="7E28074F"/>
    <w:rsid w:val="7E35BC8E"/>
    <w:rsid w:val="7ED33893"/>
    <w:rsid w:val="7F159F2A"/>
    <w:rsid w:val="7F4974BC"/>
  </w:rsids>
  <m:mathPr>
    <m:mathFont m:val="Cambria Math"/>
    <m:brkBin m:val="before"/>
    <m:brkBinSub m:val="--"/>
    <m:smallFrac m:val="0"/>
    <m:dispDef/>
    <m:lMargin m:val="0"/>
    <m:rMargin m:val="0"/>
    <m:defJc m:val="centerGroup"/>
    <m:wrapIndent m:val="1440"/>
    <m:intLim m:val="subSup"/>
    <m:naryLim m:val="undOvr"/>
  </m:mathPr>
  <w:themeFontLang w:val="en-NZ"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5E523"/>
  <w15:chartTrackingRefBased/>
  <w15:docId w15:val="{50C3E7FD-123E-4739-9C8F-5A5739FB1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uiPriority="1" w:qFormat="1"/>
    <w:lsdException w:name="List Bullet 4" w:uiPriority="1" w:qFormat="1"/>
    <w:lsdException w:name="List Bullet 5" w:uiPriority="1" w:qFormat="1"/>
    <w:lsdException w:name="List Number 2" w:uiPriority="1" w:qFormat="1"/>
    <w:lsdException w:name="List Number 3" w:uiPriority="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uiPriority="1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0D4362"/>
    <w:pPr>
      <w:spacing w:after="220" w:line="240" w:lineRule="auto"/>
    </w:pPr>
    <w:rPr>
      <w:kern w:val="0"/>
      <w14:ligatures w14:val="none"/>
    </w:rPr>
  </w:style>
  <w:style w:type="paragraph" w:styleId="Heading1">
    <w:name w:val="heading 1"/>
    <w:basedOn w:val="Normal"/>
    <w:next w:val="Normal"/>
    <w:link w:val="Heading1Char"/>
    <w:uiPriority w:val="9"/>
    <w:qFormat/>
    <w:rsid w:val="000D4362"/>
    <w:pPr>
      <w:keepNext/>
      <w:pageBreakBefore/>
      <w:spacing w:after="180" w:line="340" w:lineRule="atLeast"/>
      <w:outlineLvl w:val="0"/>
    </w:pPr>
    <w:rPr>
      <w:b/>
      <w:bCs/>
      <w:color w:val="6B2A7F" w:themeColor="accent3"/>
      <w:sz w:val="30"/>
      <w:szCs w:val="30"/>
    </w:rPr>
  </w:style>
  <w:style w:type="paragraph" w:styleId="Heading2">
    <w:name w:val="heading 2"/>
    <w:basedOn w:val="Normal"/>
    <w:next w:val="Normal"/>
    <w:link w:val="Heading2Char"/>
    <w:uiPriority w:val="9"/>
    <w:qFormat/>
    <w:rsid w:val="000D4362"/>
    <w:pPr>
      <w:keepNext/>
      <w:spacing w:before="300" w:after="60"/>
      <w:outlineLvl w:val="1"/>
    </w:pPr>
    <w:rPr>
      <w:rFonts w:ascii="Segoe UI Semibold" w:hAnsi="Segoe UI Semibold" w:cs="Segoe UI Semibold"/>
      <w:color w:val="6B2A7F" w:themeColor="accent3"/>
      <w:sz w:val="26"/>
      <w:szCs w:val="26"/>
    </w:rPr>
  </w:style>
  <w:style w:type="paragraph" w:styleId="Heading3">
    <w:name w:val="heading 3"/>
    <w:basedOn w:val="Normal"/>
    <w:next w:val="Normal"/>
    <w:link w:val="Heading3Char"/>
    <w:uiPriority w:val="9"/>
    <w:qFormat/>
    <w:rsid w:val="000D4362"/>
    <w:pPr>
      <w:keepNext/>
      <w:spacing w:before="300" w:after="80"/>
      <w:outlineLvl w:val="2"/>
    </w:pPr>
    <w:rPr>
      <w:rFonts w:ascii="Segoe UI Semibold" w:hAnsi="Segoe UI Semibold" w:cs="Segoe UI Semibold"/>
      <w:sz w:val="24"/>
      <w:szCs w:val="26"/>
    </w:rPr>
  </w:style>
  <w:style w:type="paragraph" w:styleId="Heading4">
    <w:name w:val="heading 4"/>
    <w:basedOn w:val="Heading3"/>
    <w:next w:val="Normal"/>
    <w:link w:val="Heading4Char"/>
    <w:uiPriority w:val="9"/>
    <w:qFormat/>
    <w:rsid w:val="000D4362"/>
    <w:pPr>
      <w:outlineLvl w:val="3"/>
    </w:pPr>
    <w:rPr>
      <w:sz w:val="22"/>
      <w:szCs w:val="22"/>
    </w:rPr>
  </w:style>
  <w:style w:type="paragraph" w:styleId="Heading5">
    <w:name w:val="heading 5"/>
    <w:basedOn w:val="Normal"/>
    <w:next w:val="Normal"/>
    <w:link w:val="Heading5Char"/>
    <w:uiPriority w:val="9"/>
    <w:qFormat/>
    <w:rsid w:val="000D4362"/>
    <w:pPr>
      <w:keepNext/>
      <w:spacing w:before="300" w:after="80"/>
      <w:outlineLvl w:val="4"/>
    </w:pPr>
    <w:rPr>
      <w:rFonts w:asciiTheme="majorHAnsi" w:hAnsiTheme="majorHAnsi"/>
      <w:color w:val="6B2A7F" w:themeColor="accent3"/>
    </w:rPr>
  </w:style>
  <w:style w:type="paragraph" w:styleId="Heading6">
    <w:name w:val="heading 6"/>
    <w:basedOn w:val="Normal"/>
    <w:next w:val="Normal"/>
    <w:link w:val="Heading6Char"/>
    <w:uiPriority w:val="9"/>
    <w:semiHidden/>
    <w:unhideWhenUsed/>
    <w:qFormat/>
    <w:rsid w:val="000A2E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E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E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E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362"/>
    <w:pPr>
      <w:tabs>
        <w:tab w:val="center" w:pos="4513"/>
        <w:tab w:val="right" w:pos="9026"/>
      </w:tabs>
      <w:spacing w:after="0"/>
      <w:jc w:val="right"/>
    </w:pPr>
  </w:style>
  <w:style w:type="character" w:customStyle="1" w:styleId="HeaderChar">
    <w:name w:val="Header Char"/>
    <w:basedOn w:val="DefaultParagraphFont"/>
    <w:link w:val="Header"/>
    <w:uiPriority w:val="99"/>
    <w:rsid w:val="000D4362"/>
    <w:rPr>
      <w:kern w:val="0"/>
      <w14:ligatures w14:val="none"/>
    </w:rPr>
  </w:style>
  <w:style w:type="paragraph" w:styleId="Footer">
    <w:name w:val="footer"/>
    <w:basedOn w:val="Normal"/>
    <w:link w:val="FooterChar"/>
    <w:uiPriority w:val="99"/>
    <w:unhideWhenUsed/>
    <w:rsid w:val="000D4362"/>
    <w:pPr>
      <w:tabs>
        <w:tab w:val="center" w:pos="4513"/>
        <w:tab w:val="right" w:pos="9026"/>
      </w:tabs>
      <w:spacing w:after="0"/>
    </w:pPr>
    <w:rPr>
      <w:rFonts w:ascii="Montserrat Light" w:hAnsi="Montserrat Light"/>
      <w:color w:val="595959" w:themeColor="text1" w:themeTint="A6"/>
      <w:sz w:val="14"/>
    </w:rPr>
  </w:style>
  <w:style w:type="character" w:customStyle="1" w:styleId="FooterChar">
    <w:name w:val="Footer Char"/>
    <w:basedOn w:val="DefaultParagraphFont"/>
    <w:link w:val="Footer"/>
    <w:uiPriority w:val="99"/>
    <w:rsid w:val="000D4362"/>
    <w:rPr>
      <w:rFonts w:ascii="Montserrat Light" w:hAnsi="Montserrat Light"/>
      <w:color w:val="595959" w:themeColor="text1" w:themeTint="A6"/>
      <w:kern w:val="0"/>
      <w:sz w:val="14"/>
      <w14:ligatures w14:val="none"/>
    </w:rPr>
  </w:style>
  <w:style w:type="character" w:customStyle="1" w:styleId="Heading1Char">
    <w:name w:val="Heading 1 Char"/>
    <w:basedOn w:val="DefaultParagraphFont"/>
    <w:link w:val="Heading1"/>
    <w:uiPriority w:val="9"/>
    <w:rsid w:val="000D4362"/>
    <w:rPr>
      <w:b/>
      <w:bCs/>
      <w:color w:val="6B2A7F" w:themeColor="accent3"/>
      <w:kern w:val="0"/>
      <w:sz w:val="30"/>
      <w:szCs w:val="30"/>
      <w14:ligatures w14:val="none"/>
    </w:rPr>
  </w:style>
  <w:style w:type="paragraph" w:styleId="ListBullet">
    <w:name w:val="List Bullet"/>
    <w:basedOn w:val="Normal"/>
    <w:uiPriority w:val="1"/>
    <w:qFormat/>
    <w:rsid w:val="000D4362"/>
    <w:pPr>
      <w:numPr>
        <w:numId w:val="6"/>
      </w:numPr>
      <w:spacing w:after="200"/>
    </w:pPr>
  </w:style>
  <w:style w:type="paragraph" w:styleId="ListBullet2">
    <w:name w:val="List Bullet 2"/>
    <w:basedOn w:val="Normal"/>
    <w:uiPriority w:val="1"/>
    <w:qFormat/>
    <w:rsid w:val="000D4362"/>
    <w:pPr>
      <w:numPr>
        <w:ilvl w:val="1"/>
        <w:numId w:val="6"/>
      </w:numPr>
      <w:spacing w:after="200"/>
    </w:pPr>
  </w:style>
  <w:style w:type="paragraph" w:styleId="ListBullet3">
    <w:name w:val="List Bullet 3"/>
    <w:basedOn w:val="Normal"/>
    <w:uiPriority w:val="1"/>
    <w:qFormat/>
    <w:rsid w:val="000D4362"/>
    <w:pPr>
      <w:numPr>
        <w:ilvl w:val="2"/>
        <w:numId w:val="6"/>
      </w:numPr>
      <w:spacing w:after="200"/>
    </w:pPr>
  </w:style>
  <w:style w:type="paragraph" w:styleId="ListBullet4">
    <w:name w:val="List Bullet 4"/>
    <w:basedOn w:val="Normal"/>
    <w:uiPriority w:val="1"/>
    <w:qFormat/>
    <w:rsid w:val="000D4362"/>
    <w:pPr>
      <w:numPr>
        <w:ilvl w:val="3"/>
        <w:numId w:val="6"/>
      </w:numPr>
      <w:spacing w:after="200"/>
      <w:contextualSpacing/>
    </w:pPr>
  </w:style>
  <w:style w:type="paragraph" w:styleId="ListBullet5">
    <w:name w:val="List Bullet 5"/>
    <w:basedOn w:val="Normal"/>
    <w:uiPriority w:val="1"/>
    <w:qFormat/>
    <w:rsid w:val="000D4362"/>
    <w:pPr>
      <w:numPr>
        <w:ilvl w:val="4"/>
        <w:numId w:val="6"/>
      </w:numPr>
      <w:spacing w:after="200"/>
    </w:pPr>
  </w:style>
  <w:style w:type="paragraph" w:customStyle="1" w:styleId="FigureTableTitle">
    <w:name w:val="Figure/Table Title"/>
    <w:basedOn w:val="Normal"/>
    <w:next w:val="Normal"/>
    <w:uiPriority w:val="8"/>
    <w:qFormat/>
    <w:rsid w:val="000D4362"/>
    <w:pPr>
      <w:keepNext/>
      <w:spacing w:before="280" w:after="120"/>
    </w:pPr>
    <w:rPr>
      <w:rFonts w:ascii="Segoe UI Semibold" w:hAnsi="Segoe UI Semibold" w:cs="Segoe UI Semibold"/>
      <w:bCs/>
      <w:i/>
      <w:iCs/>
      <w:sz w:val="20"/>
      <w:szCs w:val="20"/>
    </w:rPr>
  </w:style>
  <w:style w:type="table" w:styleId="TableGrid">
    <w:name w:val="Table Grid"/>
    <w:basedOn w:val="TableNormal"/>
    <w:uiPriority w:val="39"/>
    <w:rsid w:val="000D43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betweenTableSpacing">
    <w:name w:val="Inbetween Table Spacing"/>
    <w:basedOn w:val="Normal"/>
    <w:uiPriority w:val="4"/>
    <w:qFormat/>
    <w:rsid w:val="000D4362"/>
    <w:pPr>
      <w:spacing w:after="0"/>
    </w:pPr>
    <w:rPr>
      <w:sz w:val="14"/>
      <w:szCs w:val="14"/>
    </w:rPr>
  </w:style>
  <w:style w:type="character" w:customStyle="1" w:styleId="Heading2Char">
    <w:name w:val="Heading 2 Char"/>
    <w:basedOn w:val="DefaultParagraphFont"/>
    <w:link w:val="Heading2"/>
    <w:uiPriority w:val="9"/>
    <w:rsid w:val="000D4362"/>
    <w:rPr>
      <w:rFonts w:ascii="Segoe UI Semibold" w:hAnsi="Segoe UI Semibold" w:cs="Segoe UI Semibold"/>
      <w:color w:val="6B2A7F" w:themeColor="accent3"/>
      <w:kern w:val="0"/>
      <w:sz w:val="26"/>
      <w:szCs w:val="26"/>
      <w14:ligatures w14:val="none"/>
    </w:rPr>
  </w:style>
  <w:style w:type="paragraph" w:customStyle="1" w:styleId="TableBodyCopy">
    <w:name w:val="Table Body Copy"/>
    <w:basedOn w:val="Normal"/>
    <w:uiPriority w:val="4"/>
    <w:qFormat/>
    <w:rsid w:val="000D4362"/>
    <w:pPr>
      <w:spacing w:before="80" w:after="80"/>
    </w:pPr>
    <w:rPr>
      <w:sz w:val="20"/>
    </w:rPr>
  </w:style>
  <w:style w:type="paragraph" w:customStyle="1" w:styleId="TableHeadingRow">
    <w:name w:val="Table Heading Row"/>
    <w:basedOn w:val="Normal"/>
    <w:uiPriority w:val="4"/>
    <w:qFormat/>
    <w:rsid w:val="000D4362"/>
    <w:pPr>
      <w:spacing w:before="60" w:after="60"/>
    </w:pPr>
    <w:rPr>
      <w:color w:val="FFFFFF" w:themeColor="background1"/>
      <w:sz w:val="20"/>
    </w:rPr>
  </w:style>
  <w:style w:type="character" w:customStyle="1" w:styleId="Heading3Char">
    <w:name w:val="Heading 3 Char"/>
    <w:basedOn w:val="DefaultParagraphFont"/>
    <w:link w:val="Heading3"/>
    <w:uiPriority w:val="9"/>
    <w:rsid w:val="000D4362"/>
    <w:rPr>
      <w:rFonts w:ascii="Segoe UI Semibold" w:hAnsi="Segoe UI Semibold" w:cs="Segoe UI Semibold"/>
      <w:kern w:val="0"/>
      <w:sz w:val="24"/>
      <w:szCs w:val="26"/>
      <w14:ligatures w14:val="none"/>
    </w:rPr>
  </w:style>
  <w:style w:type="paragraph" w:styleId="ListNumber">
    <w:name w:val="List Number"/>
    <w:basedOn w:val="Normal"/>
    <w:uiPriority w:val="1"/>
    <w:qFormat/>
    <w:rsid w:val="000D4362"/>
    <w:pPr>
      <w:numPr>
        <w:numId w:val="7"/>
      </w:numPr>
    </w:pPr>
  </w:style>
  <w:style w:type="paragraph" w:styleId="ListNumber2">
    <w:name w:val="List Number 2"/>
    <w:basedOn w:val="Normal"/>
    <w:uiPriority w:val="1"/>
    <w:qFormat/>
    <w:rsid w:val="000D4362"/>
    <w:pPr>
      <w:numPr>
        <w:ilvl w:val="1"/>
        <w:numId w:val="7"/>
      </w:numPr>
    </w:pPr>
  </w:style>
  <w:style w:type="paragraph" w:styleId="ListNumber3">
    <w:name w:val="List Number 3"/>
    <w:basedOn w:val="Normal"/>
    <w:uiPriority w:val="1"/>
    <w:qFormat/>
    <w:rsid w:val="000D4362"/>
    <w:pPr>
      <w:numPr>
        <w:ilvl w:val="2"/>
        <w:numId w:val="7"/>
      </w:numPr>
    </w:pPr>
  </w:style>
  <w:style w:type="paragraph" w:styleId="FootnoteText">
    <w:name w:val="footnote text"/>
    <w:basedOn w:val="Normal"/>
    <w:link w:val="FootnoteTextChar"/>
    <w:uiPriority w:val="99"/>
    <w:rsid w:val="000D4362"/>
    <w:pPr>
      <w:tabs>
        <w:tab w:val="left" w:pos="168"/>
      </w:tabs>
      <w:spacing w:after="0"/>
      <w:ind w:left="170" w:hanging="170"/>
    </w:pPr>
    <w:rPr>
      <w:color w:val="595959" w:themeColor="text1" w:themeTint="A6"/>
      <w:sz w:val="12"/>
      <w:szCs w:val="20"/>
    </w:rPr>
  </w:style>
  <w:style w:type="character" w:customStyle="1" w:styleId="FootnoteTextChar">
    <w:name w:val="Footnote Text Char"/>
    <w:basedOn w:val="DefaultParagraphFont"/>
    <w:link w:val="FootnoteText"/>
    <w:uiPriority w:val="99"/>
    <w:rsid w:val="000D4362"/>
    <w:rPr>
      <w:color w:val="595959" w:themeColor="text1" w:themeTint="A6"/>
      <w:kern w:val="0"/>
      <w:sz w:val="12"/>
      <w:szCs w:val="20"/>
      <w14:ligatures w14:val="none"/>
    </w:rPr>
  </w:style>
  <w:style w:type="character" w:styleId="FootnoteReference">
    <w:name w:val="footnote reference"/>
    <w:basedOn w:val="DefaultParagraphFont"/>
    <w:uiPriority w:val="99"/>
    <w:semiHidden/>
    <w:unhideWhenUsed/>
    <w:rsid w:val="000D4362"/>
    <w:rPr>
      <w:vertAlign w:val="superscript"/>
    </w:rPr>
  </w:style>
  <w:style w:type="character" w:styleId="Hyperlink">
    <w:name w:val="Hyperlink"/>
    <w:basedOn w:val="DefaultParagraphFont"/>
    <w:uiPriority w:val="99"/>
    <w:rsid w:val="000D4362"/>
    <w:rPr>
      <w:color w:val="auto"/>
      <w:u w:val="single"/>
    </w:rPr>
  </w:style>
  <w:style w:type="character" w:customStyle="1" w:styleId="Heading4Char">
    <w:name w:val="Heading 4 Char"/>
    <w:basedOn w:val="DefaultParagraphFont"/>
    <w:link w:val="Heading4"/>
    <w:uiPriority w:val="9"/>
    <w:rsid w:val="000D4362"/>
    <w:rPr>
      <w:rFonts w:ascii="Segoe UI Semibold" w:hAnsi="Segoe UI Semibold" w:cs="Segoe UI Semibold"/>
      <w:kern w:val="0"/>
      <w14:ligatures w14:val="none"/>
    </w:rPr>
  </w:style>
  <w:style w:type="character" w:customStyle="1" w:styleId="Heading5Char">
    <w:name w:val="Heading 5 Char"/>
    <w:basedOn w:val="DefaultParagraphFont"/>
    <w:link w:val="Heading5"/>
    <w:uiPriority w:val="9"/>
    <w:rsid w:val="000D4362"/>
    <w:rPr>
      <w:rFonts w:asciiTheme="majorHAnsi" w:hAnsiTheme="majorHAnsi"/>
      <w:color w:val="6B2A7F" w:themeColor="accent3"/>
      <w:kern w:val="0"/>
      <w14:ligatures w14:val="none"/>
    </w:rPr>
  </w:style>
  <w:style w:type="character" w:customStyle="1" w:styleId="PageNumering">
    <w:name w:val="Page Numering"/>
    <w:basedOn w:val="DefaultParagraphFont"/>
    <w:uiPriority w:val="99"/>
    <w:qFormat/>
    <w:rsid w:val="000D4362"/>
    <w:rPr>
      <w:rFonts w:asciiTheme="minorHAnsi" w:hAnsiTheme="minorHAnsi"/>
      <w:b/>
      <w:bCs/>
      <w:sz w:val="14"/>
      <w:szCs w:val="14"/>
    </w:rPr>
  </w:style>
  <w:style w:type="paragraph" w:styleId="Title">
    <w:name w:val="Title"/>
    <w:basedOn w:val="Normal"/>
    <w:next w:val="Subtitle"/>
    <w:link w:val="TitleChar"/>
    <w:uiPriority w:val="10"/>
    <w:qFormat/>
    <w:rsid w:val="000D4362"/>
    <w:pPr>
      <w:spacing w:before="2200" w:after="0" w:line="680" w:lineRule="exact"/>
    </w:pPr>
    <w:rPr>
      <w:b/>
      <w:bCs/>
      <w:color w:val="6B2A7F" w:themeColor="accent3"/>
      <w:sz w:val="68"/>
      <w:szCs w:val="68"/>
    </w:rPr>
  </w:style>
  <w:style w:type="character" w:customStyle="1" w:styleId="TitleChar">
    <w:name w:val="Title Char"/>
    <w:basedOn w:val="DefaultParagraphFont"/>
    <w:link w:val="Title"/>
    <w:uiPriority w:val="10"/>
    <w:rsid w:val="000D4362"/>
    <w:rPr>
      <w:b/>
      <w:bCs/>
      <w:color w:val="6B2A7F" w:themeColor="accent3"/>
      <w:kern w:val="0"/>
      <w:sz w:val="68"/>
      <w:szCs w:val="68"/>
      <w14:ligatures w14:val="none"/>
    </w:rPr>
  </w:style>
  <w:style w:type="paragraph" w:styleId="Date">
    <w:name w:val="Date"/>
    <w:basedOn w:val="Subtitle"/>
    <w:next w:val="Normal"/>
    <w:link w:val="DateChar"/>
    <w:uiPriority w:val="12"/>
    <w:rsid w:val="000D4362"/>
    <w:rPr>
      <w:spacing w:val="0"/>
      <w:sz w:val="28"/>
      <w:szCs w:val="28"/>
    </w:rPr>
  </w:style>
  <w:style w:type="paragraph" w:styleId="Subtitle">
    <w:name w:val="Subtitle"/>
    <w:basedOn w:val="Normal"/>
    <w:next w:val="Date"/>
    <w:link w:val="SubtitleChar"/>
    <w:uiPriority w:val="11"/>
    <w:qFormat/>
    <w:rsid w:val="000D4362"/>
    <w:pPr>
      <w:spacing w:before="520" w:after="160" w:line="360" w:lineRule="exact"/>
    </w:pPr>
    <w:rPr>
      <w:rFonts w:ascii="Segoe UI Semibold" w:hAnsi="Segoe UI Semibold"/>
      <w:spacing w:val="3"/>
      <w:sz w:val="32"/>
      <w:szCs w:val="32"/>
    </w:rPr>
  </w:style>
  <w:style w:type="character" w:customStyle="1" w:styleId="SubtitleChar">
    <w:name w:val="Subtitle Char"/>
    <w:basedOn w:val="DefaultParagraphFont"/>
    <w:link w:val="Subtitle"/>
    <w:uiPriority w:val="11"/>
    <w:rsid w:val="000D4362"/>
    <w:rPr>
      <w:rFonts w:ascii="Segoe UI Semibold" w:hAnsi="Segoe UI Semibold"/>
      <w:spacing w:val="3"/>
      <w:kern w:val="0"/>
      <w:sz w:val="32"/>
      <w:szCs w:val="32"/>
      <w14:ligatures w14:val="none"/>
    </w:rPr>
  </w:style>
  <w:style w:type="character" w:customStyle="1" w:styleId="DateChar">
    <w:name w:val="Date Char"/>
    <w:basedOn w:val="DefaultParagraphFont"/>
    <w:link w:val="Date"/>
    <w:uiPriority w:val="12"/>
    <w:rsid w:val="000D4362"/>
    <w:rPr>
      <w:rFonts w:ascii="Segoe UI Semibold" w:hAnsi="Segoe UI Semibold"/>
      <w:kern w:val="0"/>
      <w:sz w:val="28"/>
      <w:szCs w:val="28"/>
      <w14:ligatures w14:val="none"/>
    </w:rPr>
  </w:style>
  <w:style w:type="paragraph" w:customStyle="1" w:styleId="Title2">
    <w:name w:val="Title 2"/>
    <w:basedOn w:val="Title"/>
    <w:next w:val="Subtitle2"/>
    <w:uiPriority w:val="13"/>
    <w:semiHidden/>
    <w:qFormat/>
    <w:rsid w:val="00801F4D"/>
    <w:rPr>
      <w:color w:val="000000" w:themeColor="text1"/>
    </w:rPr>
  </w:style>
  <w:style w:type="paragraph" w:customStyle="1" w:styleId="Title2LongTitle">
    <w:name w:val="Title 2 (Long Title)"/>
    <w:basedOn w:val="Title2"/>
    <w:next w:val="Subtitle2"/>
    <w:uiPriority w:val="13"/>
    <w:semiHidden/>
    <w:qFormat/>
    <w:rsid w:val="00801F4D"/>
    <w:rPr>
      <w:sz w:val="78"/>
      <w:szCs w:val="78"/>
    </w:rPr>
  </w:style>
  <w:style w:type="paragraph" w:customStyle="1" w:styleId="Subtitle2">
    <w:name w:val="Subtitle 2"/>
    <w:basedOn w:val="Subtitle"/>
    <w:uiPriority w:val="14"/>
    <w:semiHidden/>
    <w:qFormat/>
    <w:rsid w:val="00801F4D"/>
    <w:rPr>
      <w:color w:val="6B2A7F" w:themeColor="accent1"/>
    </w:rPr>
  </w:style>
  <w:style w:type="character" w:styleId="PlaceholderText">
    <w:name w:val="Placeholder Text"/>
    <w:basedOn w:val="DefaultParagraphFont"/>
    <w:uiPriority w:val="99"/>
    <w:semiHidden/>
    <w:rsid w:val="000D4362"/>
    <w:rPr>
      <w:color w:val="808080"/>
    </w:rPr>
  </w:style>
  <w:style w:type="paragraph" w:customStyle="1" w:styleId="Classification">
    <w:name w:val="Classification"/>
    <w:basedOn w:val="Normal"/>
    <w:link w:val="ClassificationChar"/>
    <w:semiHidden/>
    <w:qFormat/>
    <w:rsid w:val="000D4362"/>
    <w:pPr>
      <w:spacing w:before="240" w:after="0"/>
      <w:contextualSpacing/>
      <w:jc w:val="center"/>
    </w:pPr>
    <w:rPr>
      <w:rFonts w:ascii="Segoe UI Semibold" w:hAnsi="Segoe UI Semibold"/>
    </w:rPr>
  </w:style>
  <w:style w:type="character" w:customStyle="1" w:styleId="ClassificationChar">
    <w:name w:val="Classification Char"/>
    <w:basedOn w:val="DefaultParagraphFont"/>
    <w:link w:val="Classification"/>
    <w:semiHidden/>
    <w:rsid w:val="000D4362"/>
    <w:rPr>
      <w:rFonts w:ascii="Segoe UI Semibold" w:hAnsi="Segoe UI Semibold"/>
      <w:kern w:val="0"/>
      <w14:ligatures w14:val="none"/>
    </w:rPr>
  </w:style>
  <w:style w:type="character" w:customStyle="1" w:styleId="Style1">
    <w:name w:val="Style1"/>
    <w:basedOn w:val="DefaultParagraphFont"/>
    <w:uiPriority w:val="1"/>
    <w:semiHidden/>
    <w:rsid w:val="000D4362"/>
    <w:rPr>
      <w:rFonts w:ascii="Segoe UI Semibold" w:hAnsi="Segoe UI Semibold"/>
      <w:caps/>
      <w:smallCaps w:val="0"/>
      <w:color w:val="auto"/>
      <w:sz w:val="22"/>
    </w:rPr>
  </w:style>
  <w:style w:type="character" w:customStyle="1" w:styleId="Heading6Char">
    <w:name w:val="Heading 6 Char"/>
    <w:basedOn w:val="DefaultParagraphFont"/>
    <w:link w:val="Heading6"/>
    <w:uiPriority w:val="9"/>
    <w:semiHidden/>
    <w:rsid w:val="000A2E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E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E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E02"/>
    <w:rPr>
      <w:rFonts w:eastAsiaTheme="majorEastAsia" w:cstheme="majorBidi"/>
      <w:color w:val="272727" w:themeColor="text1" w:themeTint="D8"/>
    </w:rPr>
  </w:style>
  <w:style w:type="paragraph" w:styleId="Quote">
    <w:name w:val="Quote"/>
    <w:basedOn w:val="Normal"/>
    <w:next w:val="Normal"/>
    <w:link w:val="QuoteChar"/>
    <w:uiPriority w:val="29"/>
    <w:semiHidden/>
    <w:qFormat/>
    <w:rsid w:val="000A2E02"/>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0A2E02"/>
    <w:rPr>
      <w:i/>
      <w:iCs/>
      <w:color w:val="404040" w:themeColor="text1" w:themeTint="BF"/>
    </w:rPr>
  </w:style>
  <w:style w:type="character" w:styleId="IntenseEmphasis">
    <w:name w:val="Intense Emphasis"/>
    <w:basedOn w:val="DefaultParagraphFont"/>
    <w:uiPriority w:val="21"/>
    <w:semiHidden/>
    <w:qFormat/>
    <w:rsid w:val="000A2E02"/>
    <w:rPr>
      <w:i/>
      <w:iCs/>
      <w:color w:val="4F1F5E" w:themeColor="accent1" w:themeShade="BF"/>
    </w:rPr>
  </w:style>
  <w:style w:type="paragraph" w:styleId="IntenseQuote">
    <w:name w:val="Intense Quote"/>
    <w:basedOn w:val="Normal"/>
    <w:next w:val="Normal"/>
    <w:link w:val="IntenseQuoteChar"/>
    <w:uiPriority w:val="30"/>
    <w:semiHidden/>
    <w:qFormat/>
    <w:rsid w:val="000A2E02"/>
    <w:pPr>
      <w:pBdr>
        <w:top w:val="single" w:sz="4" w:space="10" w:color="4F1F5E" w:themeColor="accent1" w:themeShade="BF"/>
        <w:bottom w:val="single" w:sz="4" w:space="10" w:color="4F1F5E" w:themeColor="accent1" w:themeShade="BF"/>
      </w:pBdr>
      <w:spacing w:before="360" w:after="360"/>
      <w:ind w:left="864" w:right="864"/>
      <w:jc w:val="center"/>
    </w:pPr>
    <w:rPr>
      <w:i/>
      <w:iCs/>
      <w:color w:val="4F1F5E" w:themeColor="accent1" w:themeShade="BF"/>
    </w:rPr>
  </w:style>
  <w:style w:type="character" w:customStyle="1" w:styleId="IntenseQuoteChar">
    <w:name w:val="Intense Quote Char"/>
    <w:basedOn w:val="DefaultParagraphFont"/>
    <w:link w:val="IntenseQuote"/>
    <w:uiPriority w:val="30"/>
    <w:semiHidden/>
    <w:rsid w:val="000A2E02"/>
    <w:rPr>
      <w:i/>
      <w:iCs/>
      <w:color w:val="4F1F5E" w:themeColor="accent1" w:themeShade="BF"/>
    </w:rPr>
  </w:style>
  <w:style w:type="character" w:styleId="IntenseReference">
    <w:name w:val="Intense Reference"/>
    <w:basedOn w:val="DefaultParagraphFont"/>
    <w:uiPriority w:val="32"/>
    <w:semiHidden/>
    <w:qFormat/>
    <w:rsid w:val="000A2E02"/>
    <w:rPr>
      <w:b/>
      <w:bCs/>
      <w:smallCaps/>
      <w:color w:val="4F1F5E" w:themeColor="accent1" w:themeShade="BF"/>
      <w:spacing w:val="5"/>
    </w:rPr>
  </w:style>
  <w:style w:type="table" w:customStyle="1" w:styleId="Memorandum">
    <w:name w:val="Memorandum"/>
    <w:basedOn w:val="TableNormal"/>
    <w:uiPriority w:val="99"/>
    <w:rsid w:val="000A2E02"/>
    <w:pPr>
      <w:spacing w:after="0" w:line="240" w:lineRule="auto"/>
    </w:pPr>
    <w:rPr>
      <w:kern w:val="0"/>
      <w14:ligatures w14:val="none"/>
    </w:rPr>
    <w:tblPr>
      <w:tblBorders>
        <w:bottom w:val="single" w:sz="2" w:space="0" w:color="auto"/>
        <w:insideH w:val="single" w:sz="2" w:space="0" w:color="auto"/>
      </w:tblBorders>
      <w:tblCellMar>
        <w:top w:w="28" w:type="dxa"/>
        <w:bottom w:w="28" w:type="dxa"/>
      </w:tblCellMar>
    </w:tblPr>
    <w:tblStylePr w:type="firstCol">
      <w:rPr>
        <w:rFonts w:ascii="Kristen ITC" w:hAnsi="Kristen ITC"/>
        <w:b w:val="0"/>
        <w:i w:val="0"/>
        <w:sz w:val="22"/>
      </w:rPr>
      <w:tblPr/>
      <w:tcPr>
        <w:shd w:val="clear" w:color="auto" w:fill="FAFAF6" w:themeFill="background2"/>
      </w:tcPr>
    </w:tblStylePr>
  </w:style>
  <w:style w:type="paragraph" w:customStyle="1" w:styleId="Heading2Numbered">
    <w:name w:val="Heading 2 (Numbered)"/>
    <w:basedOn w:val="Heading2"/>
    <w:next w:val="Normal"/>
    <w:uiPriority w:val="10"/>
    <w:qFormat/>
    <w:rsid w:val="008A39F9"/>
    <w:pPr>
      <w:numPr>
        <w:ilvl w:val="1"/>
        <w:numId w:val="1"/>
      </w:numPr>
    </w:pPr>
  </w:style>
  <w:style w:type="table" w:styleId="PlainTable4">
    <w:name w:val="Plain Table 4"/>
    <w:basedOn w:val="TableNormal"/>
    <w:uiPriority w:val="44"/>
    <w:rsid w:val="000A2E02"/>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qFormat/>
    <w:rsid w:val="000D4362"/>
    <w:pPr>
      <w:keepLines/>
      <w:spacing w:line="240" w:lineRule="auto"/>
      <w:outlineLvl w:val="9"/>
    </w:pPr>
    <w:rPr>
      <w:rFonts w:eastAsiaTheme="majorEastAsia" w:cstheme="majorBidi"/>
      <w:bCs w:val="0"/>
      <w:szCs w:val="32"/>
    </w:rPr>
  </w:style>
  <w:style w:type="paragraph" w:styleId="TOC1">
    <w:name w:val="toc 1"/>
    <w:basedOn w:val="Normal"/>
    <w:next w:val="Normal"/>
    <w:autoRedefine/>
    <w:uiPriority w:val="39"/>
    <w:rsid w:val="000D4362"/>
    <w:pPr>
      <w:tabs>
        <w:tab w:val="right" w:leader="underscore" w:pos="9060"/>
      </w:tabs>
      <w:spacing w:before="80" w:after="80"/>
    </w:pPr>
    <w:rPr>
      <w:rFonts w:ascii="Segoe UI Semibold" w:hAnsi="Segoe UI Semibold"/>
    </w:rPr>
  </w:style>
  <w:style w:type="paragraph" w:styleId="TOC2">
    <w:name w:val="toc 2"/>
    <w:basedOn w:val="Normal"/>
    <w:next w:val="Normal"/>
    <w:autoRedefine/>
    <w:uiPriority w:val="39"/>
    <w:rsid w:val="000D4362"/>
    <w:pPr>
      <w:tabs>
        <w:tab w:val="right" w:pos="9061"/>
      </w:tabs>
      <w:spacing w:before="80" w:after="80"/>
    </w:pPr>
  </w:style>
  <w:style w:type="paragraph" w:styleId="TOC3">
    <w:name w:val="toc 3"/>
    <w:basedOn w:val="Normal"/>
    <w:next w:val="Normal"/>
    <w:autoRedefine/>
    <w:uiPriority w:val="39"/>
    <w:rsid w:val="000A2E02"/>
    <w:pPr>
      <w:spacing w:after="100"/>
      <w:ind w:left="440"/>
    </w:pPr>
  </w:style>
  <w:style w:type="character" w:styleId="CommentReference">
    <w:name w:val="annotation reference"/>
    <w:basedOn w:val="DefaultParagraphFont"/>
    <w:uiPriority w:val="99"/>
    <w:semiHidden/>
    <w:rsid w:val="000A2E02"/>
    <w:rPr>
      <w:sz w:val="16"/>
      <w:szCs w:val="16"/>
    </w:rPr>
  </w:style>
  <w:style w:type="paragraph" w:styleId="CommentText">
    <w:name w:val="annotation text"/>
    <w:basedOn w:val="Normal"/>
    <w:link w:val="CommentTextChar"/>
    <w:uiPriority w:val="99"/>
    <w:semiHidden/>
    <w:rsid w:val="000A2E02"/>
    <w:rPr>
      <w:sz w:val="20"/>
      <w:szCs w:val="20"/>
    </w:rPr>
  </w:style>
  <w:style w:type="character" w:customStyle="1" w:styleId="CommentTextChar">
    <w:name w:val="Comment Text Char"/>
    <w:basedOn w:val="DefaultParagraphFont"/>
    <w:link w:val="CommentText"/>
    <w:uiPriority w:val="99"/>
    <w:semiHidden/>
    <w:rsid w:val="008F67E7"/>
    <w:rPr>
      <w:kern w:val="0"/>
      <w:sz w:val="20"/>
      <w:szCs w:val="20"/>
      <w14:ligatures w14:val="none"/>
    </w:rPr>
  </w:style>
  <w:style w:type="paragraph" w:styleId="CommentSubject">
    <w:name w:val="annotation subject"/>
    <w:basedOn w:val="CommentText"/>
    <w:next w:val="CommentText"/>
    <w:link w:val="CommentSubjectChar"/>
    <w:uiPriority w:val="99"/>
    <w:semiHidden/>
    <w:rsid w:val="000A2E02"/>
    <w:rPr>
      <w:b/>
      <w:bCs/>
    </w:rPr>
  </w:style>
  <w:style w:type="character" w:customStyle="1" w:styleId="CommentSubjectChar">
    <w:name w:val="Comment Subject Char"/>
    <w:basedOn w:val="CommentTextChar"/>
    <w:link w:val="CommentSubject"/>
    <w:uiPriority w:val="99"/>
    <w:semiHidden/>
    <w:rsid w:val="008F67E7"/>
    <w:rPr>
      <w:b/>
      <w:bCs/>
      <w:kern w:val="0"/>
      <w:sz w:val="20"/>
      <w:szCs w:val="20"/>
      <w14:ligatures w14:val="none"/>
    </w:rPr>
  </w:style>
  <w:style w:type="character" w:styleId="UnresolvedMention">
    <w:name w:val="Unresolved Mention"/>
    <w:basedOn w:val="DefaultParagraphFont"/>
    <w:uiPriority w:val="99"/>
    <w:semiHidden/>
    <w:unhideWhenUsed/>
    <w:rsid w:val="000D4362"/>
    <w:rPr>
      <w:color w:val="605E5C"/>
      <w:shd w:val="clear" w:color="auto" w:fill="E1DFDD"/>
    </w:rPr>
  </w:style>
  <w:style w:type="paragraph" w:styleId="NormalWeb">
    <w:name w:val="Normal (Web)"/>
    <w:basedOn w:val="Normal"/>
    <w:uiPriority w:val="99"/>
    <w:semiHidden/>
    <w:rsid w:val="000A2E02"/>
    <w:pPr>
      <w:spacing w:before="100" w:beforeAutospacing="1" w:after="100" w:afterAutospacing="1"/>
    </w:pPr>
    <w:rPr>
      <w:rFonts w:ascii="Times New Roman" w:eastAsiaTheme="minorEastAsia" w:hAnsi="Times New Roman" w:cs="Times New Roman"/>
      <w:sz w:val="24"/>
      <w:szCs w:val="24"/>
      <w:lang w:eastAsia="en-NZ"/>
    </w:rPr>
  </w:style>
  <w:style w:type="character" w:styleId="FollowedHyperlink">
    <w:name w:val="FollowedHyperlink"/>
    <w:basedOn w:val="DefaultParagraphFont"/>
    <w:uiPriority w:val="99"/>
    <w:semiHidden/>
    <w:rsid w:val="000A2E02"/>
    <w:rPr>
      <w:color w:val="000000" w:themeColor="followedHyperlink"/>
      <w:u w:val="single"/>
    </w:rPr>
  </w:style>
  <w:style w:type="paragraph" w:styleId="Revision">
    <w:name w:val="Revision"/>
    <w:hidden/>
    <w:uiPriority w:val="99"/>
    <w:semiHidden/>
    <w:rsid w:val="000A2E02"/>
    <w:pPr>
      <w:spacing w:after="0" w:line="240" w:lineRule="auto"/>
    </w:pPr>
    <w:rPr>
      <w:kern w:val="0"/>
      <w14:ligatures w14:val="none"/>
    </w:rPr>
  </w:style>
  <w:style w:type="table" w:styleId="GridTable1Light-Accent3">
    <w:name w:val="Grid Table 1 Light Accent 3"/>
    <w:basedOn w:val="TableNormal"/>
    <w:uiPriority w:val="46"/>
    <w:rsid w:val="000A2E02"/>
    <w:pPr>
      <w:spacing w:after="0" w:line="240" w:lineRule="auto"/>
    </w:pPr>
    <w:tblPr>
      <w:tblStyleRowBandSize w:val="1"/>
      <w:tblStyleColBandSize w:val="1"/>
      <w:tblBorders>
        <w:top w:val="single" w:sz="4" w:space="0" w:color="CC98DD" w:themeColor="accent3" w:themeTint="66"/>
        <w:left w:val="single" w:sz="4" w:space="0" w:color="CC98DD" w:themeColor="accent3" w:themeTint="66"/>
        <w:bottom w:val="single" w:sz="4" w:space="0" w:color="CC98DD" w:themeColor="accent3" w:themeTint="66"/>
        <w:right w:val="single" w:sz="4" w:space="0" w:color="CC98DD" w:themeColor="accent3" w:themeTint="66"/>
        <w:insideH w:val="single" w:sz="4" w:space="0" w:color="CC98DD" w:themeColor="accent3" w:themeTint="66"/>
        <w:insideV w:val="single" w:sz="4" w:space="0" w:color="CC98DD" w:themeColor="accent3" w:themeTint="66"/>
      </w:tblBorders>
    </w:tblPr>
    <w:tblStylePr w:type="firstRow">
      <w:rPr>
        <w:b/>
        <w:bCs/>
      </w:rPr>
      <w:tblPr/>
      <w:tcPr>
        <w:tcBorders>
          <w:bottom w:val="single" w:sz="12" w:space="0" w:color="B365CC" w:themeColor="accent3" w:themeTint="99"/>
        </w:tcBorders>
      </w:tcPr>
    </w:tblStylePr>
    <w:tblStylePr w:type="lastRow">
      <w:rPr>
        <w:b/>
        <w:bCs/>
      </w:rPr>
      <w:tblPr/>
      <w:tcPr>
        <w:tcBorders>
          <w:top w:val="double" w:sz="2" w:space="0" w:color="B365CC"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0A2E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0A2E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FigureTableTitle"/>
    <w:next w:val="Normal"/>
    <w:uiPriority w:val="35"/>
    <w:unhideWhenUsed/>
    <w:qFormat/>
    <w:rsid w:val="000D4362"/>
  </w:style>
  <w:style w:type="character" w:styleId="Mention">
    <w:name w:val="Mention"/>
    <w:basedOn w:val="DefaultParagraphFont"/>
    <w:uiPriority w:val="99"/>
    <w:semiHidden/>
    <w:rsid w:val="007C2BB2"/>
    <w:rPr>
      <w:color w:val="2B579A"/>
      <w:shd w:val="clear" w:color="auto" w:fill="E1DFDD"/>
    </w:rPr>
  </w:style>
  <w:style w:type="table" w:customStyle="1" w:styleId="Questions">
    <w:name w:val="Questions"/>
    <w:basedOn w:val="TableNormal"/>
    <w:uiPriority w:val="99"/>
    <w:rsid w:val="000D4362"/>
    <w:pPr>
      <w:spacing w:after="0" w:line="240" w:lineRule="auto"/>
    </w:pPr>
    <w:rPr>
      <w:kern w:val="0"/>
      <w14:ligatures w14:val="none"/>
    </w:rPr>
    <w:tblPr>
      <w:tblCellMar>
        <w:top w:w="284" w:type="dxa"/>
        <w:left w:w="284" w:type="dxa"/>
        <w:bottom w:w="284" w:type="dxa"/>
        <w:right w:w="284" w:type="dxa"/>
      </w:tblCellMar>
    </w:tblPr>
    <w:tcPr>
      <w:shd w:val="clear" w:color="auto" w:fill="FEFDF1"/>
    </w:tcPr>
    <w:tblStylePr w:type="firstCol">
      <w:rPr>
        <w:rFonts w:asciiTheme="majorHAnsi" w:hAnsiTheme="majorHAnsi"/>
      </w:rPr>
    </w:tblStylePr>
  </w:style>
  <w:style w:type="table" w:styleId="GridTable2-Accent3">
    <w:name w:val="Grid Table 2 Accent 3"/>
    <w:basedOn w:val="TableNormal"/>
    <w:uiPriority w:val="47"/>
    <w:rsid w:val="00771AB3"/>
    <w:pPr>
      <w:spacing w:after="0" w:line="240" w:lineRule="auto"/>
    </w:pPr>
    <w:tblPr>
      <w:tblStyleRowBandSize w:val="1"/>
      <w:tblStyleColBandSize w:val="1"/>
      <w:tblBorders>
        <w:top w:val="single" w:sz="2" w:space="0" w:color="B365CC" w:themeColor="accent3" w:themeTint="99"/>
        <w:bottom w:val="single" w:sz="2" w:space="0" w:color="B365CC" w:themeColor="accent3" w:themeTint="99"/>
        <w:insideH w:val="single" w:sz="2" w:space="0" w:color="B365CC" w:themeColor="accent3" w:themeTint="99"/>
        <w:insideV w:val="single" w:sz="2" w:space="0" w:color="B365CC" w:themeColor="accent3" w:themeTint="99"/>
      </w:tblBorders>
    </w:tblPr>
    <w:tblStylePr w:type="firstRow">
      <w:rPr>
        <w:b/>
        <w:bCs/>
      </w:rPr>
      <w:tblPr/>
      <w:tcPr>
        <w:tcBorders>
          <w:top w:val="nil"/>
          <w:bottom w:val="single" w:sz="12" w:space="0" w:color="B365CC" w:themeColor="accent3" w:themeTint="99"/>
          <w:insideH w:val="nil"/>
          <w:insideV w:val="nil"/>
        </w:tcBorders>
        <w:shd w:val="clear" w:color="auto" w:fill="FFFFFF" w:themeFill="background1"/>
      </w:tcPr>
    </w:tblStylePr>
    <w:tblStylePr w:type="lastRow">
      <w:rPr>
        <w:b/>
        <w:bCs/>
      </w:rPr>
      <w:tblPr/>
      <w:tcPr>
        <w:tcBorders>
          <w:top w:val="double" w:sz="2" w:space="0" w:color="B36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CBEE" w:themeFill="accent3" w:themeFillTint="33"/>
      </w:tcPr>
    </w:tblStylePr>
    <w:tblStylePr w:type="band1Horz">
      <w:tblPr/>
      <w:tcPr>
        <w:shd w:val="clear" w:color="auto" w:fill="E6CBEE" w:themeFill="accent3" w:themeFillTint="33"/>
      </w:tcPr>
    </w:tblStylePr>
  </w:style>
  <w:style w:type="paragraph" w:customStyle="1" w:styleId="DisclaimerBullets">
    <w:name w:val="Disclaimer Bullets"/>
    <w:basedOn w:val="ListBullet"/>
    <w:semiHidden/>
    <w:qFormat/>
    <w:rsid w:val="000D4362"/>
    <w:pPr>
      <w:spacing w:after="160"/>
    </w:pPr>
    <w:rPr>
      <w:rFonts w:asciiTheme="majorHAnsi" w:hAnsiTheme="majorHAnsi" w:cstheme="majorHAnsi"/>
    </w:rPr>
  </w:style>
  <w:style w:type="paragraph" w:customStyle="1" w:styleId="DisclaimerHeading">
    <w:name w:val="Disclaimer Heading"/>
    <w:basedOn w:val="TOCHeading"/>
    <w:semiHidden/>
    <w:qFormat/>
    <w:rsid w:val="000D4362"/>
  </w:style>
  <w:style w:type="paragraph" w:customStyle="1" w:styleId="DisclaimerText">
    <w:name w:val="Disclaimer Text"/>
    <w:basedOn w:val="Normal"/>
    <w:semiHidden/>
    <w:qFormat/>
    <w:rsid w:val="000D4362"/>
    <w:pPr>
      <w:spacing w:after="160"/>
    </w:pPr>
    <w:rPr>
      <w:rFonts w:asciiTheme="majorHAnsi" w:hAnsiTheme="majorHAnsi" w:cstheme="majorHAnsi"/>
    </w:rPr>
  </w:style>
  <w:style w:type="character" w:styleId="Emphasis">
    <w:name w:val="Emphasis"/>
    <w:basedOn w:val="DefaultParagraphFont"/>
    <w:uiPriority w:val="20"/>
    <w:qFormat/>
    <w:rsid w:val="000D4362"/>
    <w:rPr>
      <w:rFonts w:ascii="Segoe UI Semibold" w:hAnsi="Segoe UI Semibold"/>
      <w:i w:val="0"/>
      <w:iCs/>
    </w:rPr>
  </w:style>
  <w:style w:type="table" w:customStyle="1" w:styleId="HighlightBox">
    <w:name w:val="Highlight Box"/>
    <w:basedOn w:val="TableNormal"/>
    <w:uiPriority w:val="99"/>
    <w:rsid w:val="000D4362"/>
    <w:pPr>
      <w:spacing w:after="0" w:line="240" w:lineRule="auto"/>
    </w:pPr>
    <w:rPr>
      <w:kern w:val="0"/>
      <w14:ligatures w14:val="none"/>
    </w:rPr>
    <w:tblPr>
      <w:tblCellMar>
        <w:top w:w="57" w:type="dxa"/>
        <w:bottom w:w="57" w:type="dxa"/>
      </w:tblCellMar>
    </w:tblPr>
    <w:tcPr>
      <w:shd w:val="clear" w:color="auto" w:fill="F6F5EE"/>
    </w:tcPr>
    <w:tblStylePr w:type="firstCol">
      <w:rPr>
        <w:rFonts w:ascii="@NSimSun" w:hAnsi="@NSimSun"/>
      </w:rPr>
    </w:tblStylePr>
  </w:style>
  <w:style w:type="paragraph" w:customStyle="1" w:styleId="Source">
    <w:name w:val="Source"/>
    <w:basedOn w:val="Normal"/>
    <w:uiPriority w:val="4"/>
    <w:qFormat/>
    <w:rsid w:val="000D4362"/>
    <w:pPr>
      <w:spacing w:before="120" w:after="160" w:line="259" w:lineRule="auto"/>
    </w:pPr>
    <w:rPr>
      <w:sz w:val="18"/>
      <w:szCs w:val="18"/>
    </w:rPr>
  </w:style>
  <w:style w:type="paragraph" w:customStyle="1" w:styleId="Heading1Numbered">
    <w:name w:val="Heading 1 (Numbered)"/>
    <w:basedOn w:val="Heading1"/>
    <w:uiPriority w:val="10"/>
    <w:qFormat/>
    <w:rsid w:val="008A39F9"/>
    <w:pPr>
      <w:numPr>
        <w:numId w:val="1"/>
      </w:numPr>
    </w:pPr>
  </w:style>
  <w:style w:type="table" w:customStyle="1" w:styleId="SectionSummary">
    <w:name w:val="Section Summary"/>
    <w:basedOn w:val="TableNormal"/>
    <w:uiPriority w:val="99"/>
    <w:rsid w:val="000D4362"/>
    <w:pPr>
      <w:spacing w:after="0" w:line="240" w:lineRule="auto"/>
    </w:pPr>
    <w:rPr>
      <w:kern w:val="0"/>
      <w14:ligatures w14:val="none"/>
    </w:rPr>
    <w:tblPr>
      <w:tblCellMar>
        <w:top w:w="284" w:type="dxa"/>
        <w:left w:w="284" w:type="dxa"/>
        <w:bottom w:w="284" w:type="dxa"/>
        <w:right w:w="284" w:type="dxa"/>
      </w:tblCellMar>
    </w:tblPr>
    <w:tcPr>
      <w:shd w:val="clear" w:color="auto" w:fill="EDF9FE"/>
    </w:tcPr>
    <w:tblStylePr w:type="firstCol">
      <w:rPr>
        <w:rFonts w:asciiTheme="majorHAnsi" w:hAnsiTheme="majorHAnsi"/>
      </w:rPr>
    </w:tblStylePr>
  </w:style>
  <w:style w:type="table" w:customStyle="1" w:styleId="CaseStudy">
    <w:name w:val="Case Study"/>
    <w:basedOn w:val="TableNormal"/>
    <w:uiPriority w:val="99"/>
    <w:rsid w:val="000D4362"/>
    <w:pPr>
      <w:spacing w:after="0" w:line="240" w:lineRule="auto"/>
    </w:pPr>
    <w:rPr>
      <w:kern w:val="0"/>
      <w14:ligatures w14:val="none"/>
    </w:rPr>
    <w:tblPr>
      <w:tblCellMar>
        <w:top w:w="284" w:type="dxa"/>
        <w:left w:w="284" w:type="dxa"/>
        <w:bottom w:w="284" w:type="dxa"/>
        <w:right w:w="284" w:type="dxa"/>
      </w:tblCellMar>
    </w:tblPr>
    <w:tcPr>
      <w:shd w:val="clear" w:color="auto" w:fill="F5EFF7"/>
    </w:tcPr>
    <w:tblStylePr w:type="firstCol">
      <w:rPr>
        <w:rFonts w:asciiTheme="majorHAnsi" w:hAnsiTheme="majorHAnsi"/>
      </w:rPr>
    </w:tblStylePr>
  </w:style>
  <w:style w:type="paragraph" w:customStyle="1" w:styleId="HighlightSectionCaseStudyHeading">
    <w:name w:val="Highlight/Section/Case Study Heading"/>
    <w:basedOn w:val="Normal"/>
    <w:uiPriority w:val="8"/>
    <w:qFormat/>
    <w:rsid w:val="000D4362"/>
    <w:pPr>
      <w:keepNext/>
    </w:pPr>
    <w:rPr>
      <w:rFonts w:ascii="Segoe UI Semibold" w:hAnsi="Segoe UI Semibold"/>
    </w:rPr>
  </w:style>
  <w:style w:type="table" w:customStyle="1" w:styleId="CoFR">
    <w:name w:val="CoFR"/>
    <w:basedOn w:val="TableNormal"/>
    <w:uiPriority w:val="99"/>
    <w:rsid w:val="000D4362"/>
    <w:pPr>
      <w:spacing w:before="60" w:after="60" w:line="240" w:lineRule="auto"/>
    </w:pPr>
    <w:rPr>
      <w:kern w:val="0"/>
      <w:sz w:val="20"/>
      <w14:ligatures w14:val="none"/>
    </w:rPr>
    <w:tblPr>
      <w:tblStyleRowBandSize w:val="1"/>
      <w:tblBorders>
        <w:bottom w:val="single" w:sz="8" w:space="0" w:color="auto"/>
        <w:insideH w:val="single" w:sz="2" w:space="0" w:color="auto"/>
      </w:tblBorders>
    </w:tblPr>
    <w:tcPr>
      <w:shd w:val="clear" w:color="auto" w:fill="FAFAF6"/>
    </w:tcPr>
    <w:tblStylePr w:type="firstRow">
      <w:pPr>
        <w:wordWrap/>
        <w:spacing w:beforeLines="60" w:before="60" w:beforeAutospacing="0" w:afterLines="60" w:after="60" w:afterAutospacing="0" w:line="228" w:lineRule="auto"/>
      </w:pPr>
      <w:rPr>
        <w:rFonts w:asciiTheme="majorHAnsi" w:hAnsiTheme="majorHAnsi"/>
        <w:b/>
        <w:i w:val="0"/>
        <w:color w:val="FFFFFF" w:themeColor="background1"/>
      </w:rPr>
      <w:tblPr/>
      <w:trPr>
        <w:tblHeader/>
      </w:trPr>
      <w:tcPr>
        <w:shd w:val="clear" w:color="auto" w:fill="6B2A7F" w:themeFill="accent3"/>
      </w:tcPr>
    </w:tblStylePr>
    <w:tblStylePr w:type="lastRow">
      <w:pPr>
        <w:wordWrap/>
        <w:spacing w:beforeLines="60" w:before="60" w:beforeAutospacing="0" w:afterLines="60" w:after="60" w:afterAutospacing="0" w:line="228" w:lineRule="auto"/>
      </w:pPr>
      <w:rPr>
        <w:b/>
      </w:rPr>
      <w:tblPr/>
      <w:tcPr>
        <w:tcBorders>
          <w:top w:val="nil"/>
          <w:left w:val="nil"/>
          <w:bottom w:val="single" w:sz="8" w:space="0" w:color="000000" w:themeColor="text1"/>
          <w:right w:val="nil"/>
          <w:insideH w:val="nil"/>
          <w:insideV w:val="nil"/>
          <w:tl2br w:val="nil"/>
          <w:tr2bl w:val="nil"/>
        </w:tcBorders>
        <w:shd w:val="clear" w:color="auto" w:fill="F6F5EE"/>
      </w:tcPr>
    </w:tblStylePr>
    <w:tblStylePr w:type="band1Horz">
      <w:pPr>
        <w:wordWrap/>
        <w:spacing w:beforeLines="60" w:before="60" w:beforeAutospacing="0" w:afterLines="60" w:after="60" w:afterAutospacing="0" w:line="228" w:lineRule="auto"/>
      </w:pPr>
    </w:tblStylePr>
    <w:tblStylePr w:type="band2Horz">
      <w:pPr>
        <w:wordWrap/>
        <w:spacing w:beforeLines="60" w:before="60" w:beforeAutospacing="0" w:afterLines="60" w:after="60" w:afterAutospacing="0" w:line="228" w:lineRule="auto"/>
      </w:pPr>
      <w:tblPr/>
      <w:tcPr>
        <w:shd w:val="clear" w:color="auto" w:fill="FFFFFF" w:themeFill="background1"/>
      </w:tcPr>
    </w:tblStylePr>
  </w:style>
  <w:style w:type="table" w:customStyle="1" w:styleId="CoFR2">
    <w:name w:val="CoFR 2"/>
    <w:basedOn w:val="TableNormal"/>
    <w:uiPriority w:val="99"/>
    <w:rsid w:val="000D4362"/>
    <w:pPr>
      <w:spacing w:before="60" w:after="60" w:line="228" w:lineRule="auto"/>
    </w:pPr>
    <w:rPr>
      <w:kern w:val="0"/>
      <w:sz w:val="20"/>
      <w14:ligatures w14:val="none"/>
    </w:rPr>
    <w:tblPr>
      <w:tblStyleRowBandSize w:val="1"/>
      <w:tblBorders>
        <w:bottom w:val="single" w:sz="2" w:space="0" w:color="auto"/>
        <w:insideH w:val="single" w:sz="2" w:space="0" w:color="auto"/>
      </w:tblBorders>
      <w:tblCellMar>
        <w:top w:w="28" w:type="dxa"/>
        <w:bottom w:w="28" w:type="dxa"/>
      </w:tblCellMar>
    </w:tblPr>
    <w:tblStylePr w:type="firstCol">
      <w:pPr>
        <w:wordWrap/>
        <w:spacing w:beforeLines="60" w:before="60" w:beforeAutospacing="0" w:afterLines="60" w:after="60" w:afterAutospacing="0" w:line="228" w:lineRule="auto"/>
      </w:pPr>
      <w:rPr>
        <w:rFonts w:ascii="@NSimSun" w:hAnsi="@NSimSun"/>
        <w:b w:val="0"/>
        <w:i w:val="0"/>
        <w:sz w:val="20"/>
      </w:rPr>
      <w:tblPr/>
      <w:tcPr>
        <w:shd w:val="clear" w:color="auto" w:fill="FAFAF6" w:themeFill="background2"/>
      </w:tcPr>
    </w:tblStylePr>
    <w:tblStylePr w:type="band1Horz">
      <w:pPr>
        <w:wordWrap/>
        <w:spacing w:beforeLines="60" w:before="60" w:beforeAutospacing="0" w:afterLines="60" w:after="60" w:afterAutospacing="0" w:line="228" w:lineRule="auto"/>
      </w:pPr>
      <w:rPr>
        <w:sz w:val="20"/>
      </w:rPr>
    </w:tblStylePr>
    <w:tblStylePr w:type="band2Horz">
      <w:pPr>
        <w:wordWrap/>
        <w:spacing w:beforeLines="60" w:before="60" w:beforeAutospacing="0" w:afterLines="60" w:after="60" w:afterAutospacing="0" w:line="228" w:lineRule="auto"/>
      </w:pPr>
      <w:rPr>
        <w:sz w:val="20"/>
      </w:rPr>
    </w:tblStylePr>
  </w:style>
  <w:style w:type="paragraph" w:styleId="TableofFigures">
    <w:name w:val="table of figures"/>
    <w:basedOn w:val="Normal"/>
    <w:next w:val="Normal"/>
    <w:uiPriority w:val="99"/>
    <w:rsid w:val="009A33F5"/>
    <w:pPr>
      <w:spacing w:after="0"/>
    </w:pPr>
  </w:style>
  <w:style w:type="paragraph" w:styleId="ListParagraph">
    <w:name w:val="List Paragraph"/>
    <w:basedOn w:val="Normal"/>
    <w:uiPriority w:val="34"/>
    <w:semiHidden/>
    <w:qFormat/>
    <w:rsid w:val="00321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4799">
      <w:bodyDiv w:val="1"/>
      <w:marLeft w:val="0"/>
      <w:marRight w:val="0"/>
      <w:marTop w:val="0"/>
      <w:marBottom w:val="0"/>
      <w:divBdr>
        <w:top w:val="none" w:sz="0" w:space="0" w:color="auto"/>
        <w:left w:val="none" w:sz="0" w:space="0" w:color="auto"/>
        <w:bottom w:val="none" w:sz="0" w:space="0" w:color="auto"/>
        <w:right w:val="none" w:sz="0" w:space="0" w:color="auto"/>
      </w:divBdr>
      <w:divsChild>
        <w:div w:id="162475514">
          <w:marLeft w:val="0"/>
          <w:marRight w:val="0"/>
          <w:marTop w:val="0"/>
          <w:marBottom w:val="0"/>
          <w:divBdr>
            <w:top w:val="none" w:sz="0" w:space="0" w:color="auto"/>
            <w:left w:val="none" w:sz="0" w:space="0" w:color="auto"/>
            <w:bottom w:val="none" w:sz="0" w:space="0" w:color="auto"/>
            <w:right w:val="none" w:sz="0" w:space="0" w:color="auto"/>
          </w:divBdr>
        </w:div>
        <w:div w:id="961886252">
          <w:marLeft w:val="0"/>
          <w:marRight w:val="0"/>
          <w:marTop w:val="0"/>
          <w:marBottom w:val="0"/>
          <w:divBdr>
            <w:top w:val="none" w:sz="0" w:space="0" w:color="auto"/>
            <w:left w:val="none" w:sz="0" w:space="0" w:color="auto"/>
            <w:bottom w:val="none" w:sz="0" w:space="0" w:color="auto"/>
            <w:right w:val="none" w:sz="0" w:space="0" w:color="auto"/>
          </w:divBdr>
        </w:div>
        <w:div w:id="1267272865">
          <w:marLeft w:val="0"/>
          <w:marRight w:val="0"/>
          <w:marTop w:val="0"/>
          <w:marBottom w:val="0"/>
          <w:divBdr>
            <w:top w:val="none" w:sz="0" w:space="0" w:color="auto"/>
            <w:left w:val="none" w:sz="0" w:space="0" w:color="auto"/>
            <w:bottom w:val="none" w:sz="0" w:space="0" w:color="auto"/>
            <w:right w:val="none" w:sz="0" w:space="0" w:color="auto"/>
          </w:divBdr>
          <w:divsChild>
            <w:div w:id="44840392">
              <w:marLeft w:val="0"/>
              <w:marRight w:val="0"/>
              <w:marTop w:val="0"/>
              <w:marBottom w:val="0"/>
              <w:divBdr>
                <w:top w:val="none" w:sz="0" w:space="0" w:color="auto"/>
                <w:left w:val="none" w:sz="0" w:space="0" w:color="auto"/>
                <w:bottom w:val="none" w:sz="0" w:space="0" w:color="auto"/>
                <w:right w:val="none" w:sz="0" w:space="0" w:color="auto"/>
              </w:divBdr>
            </w:div>
            <w:div w:id="260333869">
              <w:marLeft w:val="0"/>
              <w:marRight w:val="0"/>
              <w:marTop w:val="0"/>
              <w:marBottom w:val="0"/>
              <w:divBdr>
                <w:top w:val="none" w:sz="0" w:space="0" w:color="auto"/>
                <w:left w:val="none" w:sz="0" w:space="0" w:color="auto"/>
                <w:bottom w:val="none" w:sz="0" w:space="0" w:color="auto"/>
                <w:right w:val="none" w:sz="0" w:space="0" w:color="auto"/>
              </w:divBdr>
            </w:div>
            <w:div w:id="737749255">
              <w:marLeft w:val="0"/>
              <w:marRight w:val="0"/>
              <w:marTop w:val="0"/>
              <w:marBottom w:val="0"/>
              <w:divBdr>
                <w:top w:val="none" w:sz="0" w:space="0" w:color="auto"/>
                <w:left w:val="none" w:sz="0" w:space="0" w:color="auto"/>
                <w:bottom w:val="none" w:sz="0" w:space="0" w:color="auto"/>
                <w:right w:val="none" w:sz="0" w:space="0" w:color="auto"/>
              </w:divBdr>
            </w:div>
            <w:div w:id="1182738974">
              <w:marLeft w:val="0"/>
              <w:marRight w:val="0"/>
              <w:marTop w:val="0"/>
              <w:marBottom w:val="0"/>
              <w:divBdr>
                <w:top w:val="none" w:sz="0" w:space="0" w:color="auto"/>
                <w:left w:val="none" w:sz="0" w:space="0" w:color="auto"/>
                <w:bottom w:val="none" w:sz="0" w:space="0" w:color="auto"/>
                <w:right w:val="none" w:sz="0" w:space="0" w:color="auto"/>
              </w:divBdr>
            </w:div>
            <w:div w:id="1362784493">
              <w:marLeft w:val="0"/>
              <w:marRight w:val="0"/>
              <w:marTop w:val="0"/>
              <w:marBottom w:val="0"/>
              <w:divBdr>
                <w:top w:val="none" w:sz="0" w:space="0" w:color="auto"/>
                <w:left w:val="none" w:sz="0" w:space="0" w:color="auto"/>
                <w:bottom w:val="none" w:sz="0" w:space="0" w:color="auto"/>
                <w:right w:val="none" w:sz="0" w:space="0" w:color="auto"/>
              </w:divBdr>
            </w:div>
            <w:div w:id="1494368252">
              <w:marLeft w:val="0"/>
              <w:marRight w:val="0"/>
              <w:marTop w:val="0"/>
              <w:marBottom w:val="0"/>
              <w:divBdr>
                <w:top w:val="none" w:sz="0" w:space="0" w:color="auto"/>
                <w:left w:val="none" w:sz="0" w:space="0" w:color="auto"/>
                <w:bottom w:val="none" w:sz="0" w:space="0" w:color="auto"/>
                <w:right w:val="none" w:sz="0" w:space="0" w:color="auto"/>
              </w:divBdr>
            </w:div>
            <w:div w:id="1520894968">
              <w:marLeft w:val="0"/>
              <w:marRight w:val="0"/>
              <w:marTop w:val="0"/>
              <w:marBottom w:val="0"/>
              <w:divBdr>
                <w:top w:val="none" w:sz="0" w:space="0" w:color="auto"/>
                <w:left w:val="none" w:sz="0" w:space="0" w:color="auto"/>
                <w:bottom w:val="none" w:sz="0" w:space="0" w:color="auto"/>
                <w:right w:val="none" w:sz="0" w:space="0" w:color="auto"/>
              </w:divBdr>
            </w:div>
            <w:div w:id="1671835474">
              <w:marLeft w:val="0"/>
              <w:marRight w:val="0"/>
              <w:marTop w:val="0"/>
              <w:marBottom w:val="0"/>
              <w:divBdr>
                <w:top w:val="none" w:sz="0" w:space="0" w:color="auto"/>
                <w:left w:val="none" w:sz="0" w:space="0" w:color="auto"/>
                <w:bottom w:val="none" w:sz="0" w:space="0" w:color="auto"/>
                <w:right w:val="none" w:sz="0" w:space="0" w:color="auto"/>
              </w:divBdr>
            </w:div>
            <w:div w:id="1806728575">
              <w:marLeft w:val="0"/>
              <w:marRight w:val="0"/>
              <w:marTop w:val="0"/>
              <w:marBottom w:val="0"/>
              <w:divBdr>
                <w:top w:val="none" w:sz="0" w:space="0" w:color="auto"/>
                <w:left w:val="none" w:sz="0" w:space="0" w:color="auto"/>
                <w:bottom w:val="none" w:sz="0" w:space="0" w:color="auto"/>
                <w:right w:val="none" w:sz="0" w:space="0" w:color="auto"/>
              </w:divBdr>
            </w:div>
          </w:divsChild>
        </w:div>
        <w:div w:id="1520194007">
          <w:marLeft w:val="0"/>
          <w:marRight w:val="0"/>
          <w:marTop w:val="0"/>
          <w:marBottom w:val="0"/>
          <w:divBdr>
            <w:top w:val="none" w:sz="0" w:space="0" w:color="auto"/>
            <w:left w:val="none" w:sz="0" w:space="0" w:color="auto"/>
            <w:bottom w:val="none" w:sz="0" w:space="0" w:color="auto"/>
            <w:right w:val="none" w:sz="0" w:space="0" w:color="auto"/>
          </w:divBdr>
        </w:div>
        <w:div w:id="1562326586">
          <w:marLeft w:val="0"/>
          <w:marRight w:val="0"/>
          <w:marTop w:val="0"/>
          <w:marBottom w:val="0"/>
          <w:divBdr>
            <w:top w:val="none" w:sz="0" w:space="0" w:color="auto"/>
            <w:left w:val="none" w:sz="0" w:space="0" w:color="auto"/>
            <w:bottom w:val="none" w:sz="0" w:space="0" w:color="auto"/>
            <w:right w:val="none" w:sz="0" w:space="0" w:color="auto"/>
          </w:divBdr>
        </w:div>
      </w:divsChild>
    </w:div>
    <w:div w:id="110248684">
      <w:bodyDiv w:val="1"/>
      <w:marLeft w:val="0"/>
      <w:marRight w:val="0"/>
      <w:marTop w:val="0"/>
      <w:marBottom w:val="0"/>
      <w:divBdr>
        <w:top w:val="none" w:sz="0" w:space="0" w:color="auto"/>
        <w:left w:val="none" w:sz="0" w:space="0" w:color="auto"/>
        <w:bottom w:val="none" w:sz="0" w:space="0" w:color="auto"/>
        <w:right w:val="none" w:sz="0" w:space="0" w:color="auto"/>
      </w:divBdr>
    </w:div>
    <w:div w:id="158231716">
      <w:bodyDiv w:val="1"/>
      <w:marLeft w:val="0"/>
      <w:marRight w:val="0"/>
      <w:marTop w:val="0"/>
      <w:marBottom w:val="0"/>
      <w:divBdr>
        <w:top w:val="none" w:sz="0" w:space="0" w:color="auto"/>
        <w:left w:val="none" w:sz="0" w:space="0" w:color="auto"/>
        <w:bottom w:val="none" w:sz="0" w:space="0" w:color="auto"/>
        <w:right w:val="none" w:sz="0" w:space="0" w:color="auto"/>
      </w:divBdr>
    </w:div>
    <w:div w:id="295600115">
      <w:bodyDiv w:val="1"/>
      <w:marLeft w:val="0"/>
      <w:marRight w:val="0"/>
      <w:marTop w:val="0"/>
      <w:marBottom w:val="0"/>
      <w:divBdr>
        <w:top w:val="none" w:sz="0" w:space="0" w:color="auto"/>
        <w:left w:val="none" w:sz="0" w:space="0" w:color="auto"/>
        <w:bottom w:val="none" w:sz="0" w:space="0" w:color="auto"/>
        <w:right w:val="none" w:sz="0" w:space="0" w:color="auto"/>
      </w:divBdr>
    </w:div>
    <w:div w:id="305163120">
      <w:bodyDiv w:val="1"/>
      <w:marLeft w:val="0"/>
      <w:marRight w:val="0"/>
      <w:marTop w:val="0"/>
      <w:marBottom w:val="0"/>
      <w:divBdr>
        <w:top w:val="none" w:sz="0" w:space="0" w:color="auto"/>
        <w:left w:val="none" w:sz="0" w:space="0" w:color="auto"/>
        <w:bottom w:val="none" w:sz="0" w:space="0" w:color="auto"/>
        <w:right w:val="none" w:sz="0" w:space="0" w:color="auto"/>
      </w:divBdr>
      <w:divsChild>
        <w:div w:id="207840343">
          <w:marLeft w:val="0"/>
          <w:marRight w:val="0"/>
          <w:marTop w:val="0"/>
          <w:marBottom w:val="0"/>
          <w:divBdr>
            <w:top w:val="none" w:sz="0" w:space="0" w:color="auto"/>
            <w:left w:val="none" w:sz="0" w:space="0" w:color="auto"/>
            <w:bottom w:val="none" w:sz="0" w:space="0" w:color="auto"/>
            <w:right w:val="none" w:sz="0" w:space="0" w:color="auto"/>
          </w:divBdr>
          <w:divsChild>
            <w:div w:id="9534290">
              <w:marLeft w:val="0"/>
              <w:marRight w:val="0"/>
              <w:marTop w:val="0"/>
              <w:marBottom w:val="0"/>
              <w:divBdr>
                <w:top w:val="none" w:sz="0" w:space="0" w:color="auto"/>
                <w:left w:val="none" w:sz="0" w:space="0" w:color="auto"/>
                <w:bottom w:val="none" w:sz="0" w:space="0" w:color="auto"/>
                <w:right w:val="none" w:sz="0" w:space="0" w:color="auto"/>
              </w:divBdr>
            </w:div>
            <w:div w:id="242180215">
              <w:marLeft w:val="0"/>
              <w:marRight w:val="0"/>
              <w:marTop w:val="0"/>
              <w:marBottom w:val="0"/>
              <w:divBdr>
                <w:top w:val="none" w:sz="0" w:space="0" w:color="auto"/>
                <w:left w:val="none" w:sz="0" w:space="0" w:color="auto"/>
                <w:bottom w:val="none" w:sz="0" w:space="0" w:color="auto"/>
                <w:right w:val="none" w:sz="0" w:space="0" w:color="auto"/>
              </w:divBdr>
            </w:div>
            <w:div w:id="796991165">
              <w:marLeft w:val="0"/>
              <w:marRight w:val="0"/>
              <w:marTop w:val="0"/>
              <w:marBottom w:val="0"/>
              <w:divBdr>
                <w:top w:val="none" w:sz="0" w:space="0" w:color="auto"/>
                <w:left w:val="none" w:sz="0" w:space="0" w:color="auto"/>
                <w:bottom w:val="none" w:sz="0" w:space="0" w:color="auto"/>
                <w:right w:val="none" w:sz="0" w:space="0" w:color="auto"/>
              </w:divBdr>
            </w:div>
            <w:div w:id="892276178">
              <w:marLeft w:val="0"/>
              <w:marRight w:val="0"/>
              <w:marTop w:val="0"/>
              <w:marBottom w:val="0"/>
              <w:divBdr>
                <w:top w:val="none" w:sz="0" w:space="0" w:color="auto"/>
                <w:left w:val="none" w:sz="0" w:space="0" w:color="auto"/>
                <w:bottom w:val="none" w:sz="0" w:space="0" w:color="auto"/>
                <w:right w:val="none" w:sz="0" w:space="0" w:color="auto"/>
              </w:divBdr>
            </w:div>
            <w:div w:id="1165710031">
              <w:marLeft w:val="0"/>
              <w:marRight w:val="0"/>
              <w:marTop w:val="0"/>
              <w:marBottom w:val="0"/>
              <w:divBdr>
                <w:top w:val="none" w:sz="0" w:space="0" w:color="auto"/>
                <w:left w:val="none" w:sz="0" w:space="0" w:color="auto"/>
                <w:bottom w:val="none" w:sz="0" w:space="0" w:color="auto"/>
                <w:right w:val="none" w:sz="0" w:space="0" w:color="auto"/>
              </w:divBdr>
            </w:div>
            <w:div w:id="1585144499">
              <w:marLeft w:val="0"/>
              <w:marRight w:val="0"/>
              <w:marTop w:val="0"/>
              <w:marBottom w:val="0"/>
              <w:divBdr>
                <w:top w:val="none" w:sz="0" w:space="0" w:color="auto"/>
                <w:left w:val="none" w:sz="0" w:space="0" w:color="auto"/>
                <w:bottom w:val="none" w:sz="0" w:space="0" w:color="auto"/>
                <w:right w:val="none" w:sz="0" w:space="0" w:color="auto"/>
              </w:divBdr>
            </w:div>
            <w:div w:id="1631474373">
              <w:marLeft w:val="0"/>
              <w:marRight w:val="0"/>
              <w:marTop w:val="0"/>
              <w:marBottom w:val="0"/>
              <w:divBdr>
                <w:top w:val="none" w:sz="0" w:space="0" w:color="auto"/>
                <w:left w:val="none" w:sz="0" w:space="0" w:color="auto"/>
                <w:bottom w:val="none" w:sz="0" w:space="0" w:color="auto"/>
                <w:right w:val="none" w:sz="0" w:space="0" w:color="auto"/>
              </w:divBdr>
            </w:div>
            <w:div w:id="1651981933">
              <w:marLeft w:val="0"/>
              <w:marRight w:val="0"/>
              <w:marTop w:val="0"/>
              <w:marBottom w:val="0"/>
              <w:divBdr>
                <w:top w:val="none" w:sz="0" w:space="0" w:color="auto"/>
                <w:left w:val="none" w:sz="0" w:space="0" w:color="auto"/>
                <w:bottom w:val="none" w:sz="0" w:space="0" w:color="auto"/>
                <w:right w:val="none" w:sz="0" w:space="0" w:color="auto"/>
              </w:divBdr>
            </w:div>
            <w:div w:id="2094157761">
              <w:marLeft w:val="0"/>
              <w:marRight w:val="0"/>
              <w:marTop w:val="0"/>
              <w:marBottom w:val="0"/>
              <w:divBdr>
                <w:top w:val="none" w:sz="0" w:space="0" w:color="auto"/>
                <w:left w:val="none" w:sz="0" w:space="0" w:color="auto"/>
                <w:bottom w:val="none" w:sz="0" w:space="0" w:color="auto"/>
                <w:right w:val="none" w:sz="0" w:space="0" w:color="auto"/>
              </w:divBdr>
            </w:div>
          </w:divsChild>
        </w:div>
        <w:div w:id="1468284322">
          <w:marLeft w:val="0"/>
          <w:marRight w:val="0"/>
          <w:marTop w:val="0"/>
          <w:marBottom w:val="0"/>
          <w:divBdr>
            <w:top w:val="none" w:sz="0" w:space="0" w:color="auto"/>
            <w:left w:val="none" w:sz="0" w:space="0" w:color="auto"/>
            <w:bottom w:val="none" w:sz="0" w:space="0" w:color="auto"/>
            <w:right w:val="none" w:sz="0" w:space="0" w:color="auto"/>
          </w:divBdr>
        </w:div>
        <w:div w:id="1853687871">
          <w:marLeft w:val="0"/>
          <w:marRight w:val="0"/>
          <w:marTop w:val="0"/>
          <w:marBottom w:val="0"/>
          <w:divBdr>
            <w:top w:val="none" w:sz="0" w:space="0" w:color="auto"/>
            <w:left w:val="none" w:sz="0" w:space="0" w:color="auto"/>
            <w:bottom w:val="none" w:sz="0" w:space="0" w:color="auto"/>
            <w:right w:val="none" w:sz="0" w:space="0" w:color="auto"/>
          </w:divBdr>
        </w:div>
        <w:div w:id="1873418465">
          <w:marLeft w:val="0"/>
          <w:marRight w:val="0"/>
          <w:marTop w:val="0"/>
          <w:marBottom w:val="0"/>
          <w:divBdr>
            <w:top w:val="none" w:sz="0" w:space="0" w:color="auto"/>
            <w:left w:val="none" w:sz="0" w:space="0" w:color="auto"/>
            <w:bottom w:val="none" w:sz="0" w:space="0" w:color="auto"/>
            <w:right w:val="none" w:sz="0" w:space="0" w:color="auto"/>
          </w:divBdr>
        </w:div>
        <w:div w:id="2108230656">
          <w:marLeft w:val="0"/>
          <w:marRight w:val="0"/>
          <w:marTop w:val="0"/>
          <w:marBottom w:val="0"/>
          <w:divBdr>
            <w:top w:val="none" w:sz="0" w:space="0" w:color="auto"/>
            <w:left w:val="none" w:sz="0" w:space="0" w:color="auto"/>
            <w:bottom w:val="none" w:sz="0" w:space="0" w:color="auto"/>
            <w:right w:val="none" w:sz="0" w:space="0" w:color="auto"/>
          </w:divBdr>
        </w:div>
      </w:divsChild>
    </w:div>
    <w:div w:id="361438718">
      <w:bodyDiv w:val="1"/>
      <w:marLeft w:val="0"/>
      <w:marRight w:val="0"/>
      <w:marTop w:val="0"/>
      <w:marBottom w:val="0"/>
      <w:divBdr>
        <w:top w:val="none" w:sz="0" w:space="0" w:color="auto"/>
        <w:left w:val="none" w:sz="0" w:space="0" w:color="auto"/>
        <w:bottom w:val="none" w:sz="0" w:space="0" w:color="auto"/>
        <w:right w:val="none" w:sz="0" w:space="0" w:color="auto"/>
      </w:divBdr>
    </w:div>
    <w:div w:id="482745432">
      <w:bodyDiv w:val="1"/>
      <w:marLeft w:val="0"/>
      <w:marRight w:val="0"/>
      <w:marTop w:val="0"/>
      <w:marBottom w:val="0"/>
      <w:divBdr>
        <w:top w:val="none" w:sz="0" w:space="0" w:color="auto"/>
        <w:left w:val="none" w:sz="0" w:space="0" w:color="auto"/>
        <w:bottom w:val="none" w:sz="0" w:space="0" w:color="auto"/>
        <w:right w:val="none" w:sz="0" w:space="0" w:color="auto"/>
      </w:divBdr>
    </w:div>
    <w:div w:id="865024942">
      <w:bodyDiv w:val="1"/>
      <w:marLeft w:val="0"/>
      <w:marRight w:val="0"/>
      <w:marTop w:val="0"/>
      <w:marBottom w:val="0"/>
      <w:divBdr>
        <w:top w:val="none" w:sz="0" w:space="0" w:color="auto"/>
        <w:left w:val="none" w:sz="0" w:space="0" w:color="auto"/>
        <w:bottom w:val="none" w:sz="0" w:space="0" w:color="auto"/>
        <w:right w:val="none" w:sz="0" w:space="0" w:color="auto"/>
      </w:divBdr>
    </w:div>
    <w:div w:id="941493606">
      <w:bodyDiv w:val="1"/>
      <w:marLeft w:val="0"/>
      <w:marRight w:val="0"/>
      <w:marTop w:val="0"/>
      <w:marBottom w:val="0"/>
      <w:divBdr>
        <w:top w:val="none" w:sz="0" w:space="0" w:color="auto"/>
        <w:left w:val="none" w:sz="0" w:space="0" w:color="auto"/>
        <w:bottom w:val="none" w:sz="0" w:space="0" w:color="auto"/>
        <w:right w:val="none" w:sz="0" w:space="0" w:color="auto"/>
      </w:divBdr>
    </w:div>
    <w:div w:id="945843926">
      <w:bodyDiv w:val="1"/>
      <w:marLeft w:val="0"/>
      <w:marRight w:val="0"/>
      <w:marTop w:val="0"/>
      <w:marBottom w:val="0"/>
      <w:divBdr>
        <w:top w:val="none" w:sz="0" w:space="0" w:color="auto"/>
        <w:left w:val="none" w:sz="0" w:space="0" w:color="auto"/>
        <w:bottom w:val="none" w:sz="0" w:space="0" w:color="auto"/>
        <w:right w:val="none" w:sz="0" w:space="0" w:color="auto"/>
      </w:divBdr>
    </w:div>
    <w:div w:id="949779838">
      <w:bodyDiv w:val="1"/>
      <w:marLeft w:val="0"/>
      <w:marRight w:val="0"/>
      <w:marTop w:val="0"/>
      <w:marBottom w:val="0"/>
      <w:divBdr>
        <w:top w:val="none" w:sz="0" w:space="0" w:color="auto"/>
        <w:left w:val="none" w:sz="0" w:space="0" w:color="auto"/>
        <w:bottom w:val="none" w:sz="0" w:space="0" w:color="auto"/>
        <w:right w:val="none" w:sz="0" w:space="0" w:color="auto"/>
      </w:divBdr>
    </w:div>
    <w:div w:id="950861977">
      <w:bodyDiv w:val="1"/>
      <w:marLeft w:val="0"/>
      <w:marRight w:val="0"/>
      <w:marTop w:val="0"/>
      <w:marBottom w:val="0"/>
      <w:divBdr>
        <w:top w:val="none" w:sz="0" w:space="0" w:color="auto"/>
        <w:left w:val="none" w:sz="0" w:space="0" w:color="auto"/>
        <w:bottom w:val="none" w:sz="0" w:space="0" w:color="auto"/>
        <w:right w:val="none" w:sz="0" w:space="0" w:color="auto"/>
      </w:divBdr>
    </w:div>
    <w:div w:id="998461130">
      <w:bodyDiv w:val="1"/>
      <w:marLeft w:val="0"/>
      <w:marRight w:val="0"/>
      <w:marTop w:val="0"/>
      <w:marBottom w:val="0"/>
      <w:divBdr>
        <w:top w:val="none" w:sz="0" w:space="0" w:color="auto"/>
        <w:left w:val="none" w:sz="0" w:space="0" w:color="auto"/>
        <w:bottom w:val="none" w:sz="0" w:space="0" w:color="auto"/>
        <w:right w:val="none" w:sz="0" w:space="0" w:color="auto"/>
      </w:divBdr>
    </w:div>
    <w:div w:id="1056398682">
      <w:bodyDiv w:val="1"/>
      <w:marLeft w:val="0"/>
      <w:marRight w:val="0"/>
      <w:marTop w:val="0"/>
      <w:marBottom w:val="0"/>
      <w:divBdr>
        <w:top w:val="none" w:sz="0" w:space="0" w:color="auto"/>
        <w:left w:val="none" w:sz="0" w:space="0" w:color="auto"/>
        <w:bottom w:val="none" w:sz="0" w:space="0" w:color="auto"/>
        <w:right w:val="none" w:sz="0" w:space="0" w:color="auto"/>
      </w:divBdr>
    </w:div>
    <w:div w:id="1180269522">
      <w:bodyDiv w:val="1"/>
      <w:marLeft w:val="0"/>
      <w:marRight w:val="0"/>
      <w:marTop w:val="0"/>
      <w:marBottom w:val="0"/>
      <w:divBdr>
        <w:top w:val="none" w:sz="0" w:space="0" w:color="auto"/>
        <w:left w:val="none" w:sz="0" w:space="0" w:color="auto"/>
        <w:bottom w:val="none" w:sz="0" w:space="0" w:color="auto"/>
        <w:right w:val="none" w:sz="0" w:space="0" w:color="auto"/>
      </w:divBdr>
    </w:div>
    <w:div w:id="1189030336">
      <w:bodyDiv w:val="1"/>
      <w:marLeft w:val="0"/>
      <w:marRight w:val="0"/>
      <w:marTop w:val="0"/>
      <w:marBottom w:val="0"/>
      <w:divBdr>
        <w:top w:val="none" w:sz="0" w:space="0" w:color="auto"/>
        <w:left w:val="none" w:sz="0" w:space="0" w:color="auto"/>
        <w:bottom w:val="none" w:sz="0" w:space="0" w:color="auto"/>
        <w:right w:val="none" w:sz="0" w:space="0" w:color="auto"/>
      </w:divBdr>
    </w:div>
    <w:div w:id="1311668357">
      <w:bodyDiv w:val="1"/>
      <w:marLeft w:val="0"/>
      <w:marRight w:val="0"/>
      <w:marTop w:val="0"/>
      <w:marBottom w:val="0"/>
      <w:divBdr>
        <w:top w:val="none" w:sz="0" w:space="0" w:color="auto"/>
        <w:left w:val="none" w:sz="0" w:space="0" w:color="auto"/>
        <w:bottom w:val="none" w:sz="0" w:space="0" w:color="auto"/>
        <w:right w:val="none" w:sz="0" w:space="0" w:color="auto"/>
      </w:divBdr>
    </w:div>
    <w:div w:id="1457481003">
      <w:bodyDiv w:val="1"/>
      <w:marLeft w:val="0"/>
      <w:marRight w:val="0"/>
      <w:marTop w:val="0"/>
      <w:marBottom w:val="0"/>
      <w:divBdr>
        <w:top w:val="none" w:sz="0" w:space="0" w:color="auto"/>
        <w:left w:val="none" w:sz="0" w:space="0" w:color="auto"/>
        <w:bottom w:val="none" w:sz="0" w:space="0" w:color="auto"/>
        <w:right w:val="none" w:sz="0" w:space="0" w:color="auto"/>
      </w:divBdr>
    </w:div>
    <w:div w:id="1489400002">
      <w:bodyDiv w:val="1"/>
      <w:marLeft w:val="0"/>
      <w:marRight w:val="0"/>
      <w:marTop w:val="0"/>
      <w:marBottom w:val="0"/>
      <w:divBdr>
        <w:top w:val="none" w:sz="0" w:space="0" w:color="auto"/>
        <w:left w:val="none" w:sz="0" w:space="0" w:color="auto"/>
        <w:bottom w:val="none" w:sz="0" w:space="0" w:color="auto"/>
        <w:right w:val="none" w:sz="0" w:space="0" w:color="auto"/>
      </w:divBdr>
      <w:divsChild>
        <w:div w:id="330985872">
          <w:marLeft w:val="0"/>
          <w:marRight w:val="0"/>
          <w:marTop w:val="0"/>
          <w:marBottom w:val="0"/>
          <w:divBdr>
            <w:top w:val="none" w:sz="0" w:space="0" w:color="auto"/>
            <w:left w:val="none" w:sz="0" w:space="0" w:color="auto"/>
            <w:bottom w:val="none" w:sz="0" w:space="0" w:color="auto"/>
            <w:right w:val="none" w:sz="0" w:space="0" w:color="auto"/>
          </w:divBdr>
          <w:divsChild>
            <w:div w:id="135531394">
              <w:marLeft w:val="0"/>
              <w:marRight w:val="0"/>
              <w:marTop w:val="30"/>
              <w:marBottom w:val="30"/>
              <w:divBdr>
                <w:top w:val="none" w:sz="0" w:space="0" w:color="auto"/>
                <w:left w:val="none" w:sz="0" w:space="0" w:color="auto"/>
                <w:bottom w:val="none" w:sz="0" w:space="0" w:color="auto"/>
                <w:right w:val="none" w:sz="0" w:space="0" w:color="auto"/>
              </w:divBdr>
              <w:divsChild>
                <w:div w:id="107631438">
                  <w:marLeft w:val="0"/>
                  <w:marRight w:val="0"/>
                  <w:marTop w:val="0"/>
                  <w:marBottom w:val="0"/>
                  <w:divBdr>
                    <w:top w:val="none" w:sz="0" w:space="0" w:color="auto"/>
                    <w:left w:val="none" w:sz="0" w:space="0" w:color="auto"/>
                    <w:bottom w:val="none" w:sz="0" w:space="0" w:color="auto"/>
                    <w:right w:val="none" w:sz="0" w:space="0" w:color="auto"/>
                  </w:divBdr>
                  <w:divsChild>
                    <w:div w:id="2036539588">
                      <w:marLeft w:val="0"/>
                      <w:marRight w:val="0"/>
                      <w:marTop w:val="0"/>
                      <w:marBottom w:val="0"/>
                      <w:divBdr>
                        <w:top w:val="none" w:sz="0" w:space="0" w:color="auto"/>
                        <w:left w:val="none" w:sz="0" w:space="0" w:color="auto"/>
                        <w:bottom w:val="none" w:sz="0" w:space="0" w:color="auto"/>
                        <w:right w:val="none" w:sz="0" w:space="0" w:color="auto"/>
                      </w:divBdr>
                    </w:div>
                  </w:divsChild>
                </w:div>
                <w:div w:id="108664646">
                  <w:marLeft w:val="0"/>
                  <w:marRight w:val="0"/>
                  <w:marTop w:val="0"/>
                  <w:marBottom w:val="0"/>
                  <w:divBdr>
                    <w:top w:val="none" w:sz="0" w:space="0" w:color="auto"/>
                    <w:left w:val="none" w:sz="0" w:space="0" w:color="auto"/>
                    <w:bottom w:val="none" w:sz="0" w:space="0" w:color="auto"/>
                    <w:right w:val="none" w:sz="0" w:space="0" w:color="auto"/>
                  </w:divBdr>
                  <w:divsChild>
                    <w:div w:id="94833144">
                      <w:marLeft w:val="0"/>
                      <w:marRight w:val="0"/>
                      <w:marTop w:val="0"/>
                      <w:marBottom w:val="0"/>
                      <w:divBdr>
                        <w:top w:val="none" w:sz="0" w:space="0" w:color="auto"/>
                        <w:left w:val="none" w:sz="0" w:space="0" w:color="auto"/>
                        <w:bottom w:val="none" w:sz="0" w:space="0" w:color="auto"/>
                        <w:right w:val="none" w:sz="0" w:space="0" w:color="auto"/>
                      </w:divBdr>
                    </w:div>
                  </w:divsChild>
                </w:div>
                <w:div w:id="130758797">
                  <w:marLeft w:val="0"/>
                  <w:marRight w:val="0"/>
                  <w:marTop w:val="0"/>
                  <w:marBottom w:val="0"/>
                  <w:divBdr>
                    <w:top w:val="none" w:sz="0" w:space="0" w:color="auto"/>
                    <w:left w:val="none" w:sz="0" w:space="0" w:color="auto"/>
                    <w:bottom w:val="none" w:sz="0" w:space="0" w:color="auto"/>
                    <w:right w:val="none" w:sz="0" w:space="0" w:color="auto"/>
                  </w:divBdr>
                  <w:divsChild>
                    <w:div w:id="379937322">
                      <w:marLeft w:val="0"/>
                      <w:marRight w:val="0"/>
                      <w:marTop w:val="0"/>
                      <w:marBottom w:val="0"/>
                      <w:divBdr>
                        <w:top w:val="none" w:sz="0" w:space="0" w:color="auto"/>
                        <w:left w:val="none" w:sz="0" w:space="0" w:color="auto"/>
                        <w:bottom w:val="none" w:sz="0" w:space="0" w:color="auto"/>
                        <w:right w:val="none" w:sz="0" w:space="0" w:color="auto"/>
                      </w:divBdr>
                    </w:div>
                  </w:divsChild>
                </w:div>
                <w:div w:id="131363620">
                  <w:marLeft w:val="0"/>
                  <w:marRight w:val="0"/>
                  <w:marTop w:val="0"/>
                  <w:marBottom w:val="0"/>
                  <w:divBdr>
                    <w:top w:val="none" w:sz="0" w:space="0" w:color="auto"/>
                    <w:left w:val="none" w:sz="0" w:space="0" w:color="auto"/>
                    <w:bottom w:val="none" w:sz="0" w:space="0" w:color="auto"/>
                    <w:right w:val="none" w:sz="0" w:space="0" w:color="auto"/>
                  </w:divBdr>
                  <w:divsChild>
                    <w:div w:id="1451968747">
                      <w:marLeft w:val="0"/>
                      <w:marRight w:val="0"/>
                      <w:marTop w:val="0"/>
                      <w:marBottom w:val="0"/>
                      <w:divBdr>
                        <w:top w:val="none" w:sz="0" w:space="0" w:color="auto"/>
                        <w:left w:val="none" w:sz="0" w:space="0" w:color="auto"/>
                        <w:bottom w:val="none" w:sz="0" w:space="0" w:color="auto"/>
                        <w:right w:val="none" w:sz="0" w:space="0" w:color="auto"/>
                      </w:divBdr>
                    </w:div>
                  </w:divsChild>
                </w:div>
                <w:div w:id="212545945">
                  <w:marLeft w:val="0"/>
                  <w:marRight w:val="0"/>
                  <w:marTop w:val="0"/>
                  <w:marBottom w:val="0"/>
                  <w:divBdr>
                    <w:top w:val="none" w:sz="0" w:space="0" w:color="auto"/>
                    <w:left w:val="none" w:sz="0" w:space="0" w:color="auto"/>
                    <w:bottom w:val="none" w:sz="0" w:space="0" w:color="auto"/>
                    <w:right w:val="none" w:sz="0" w:space="0" w:color="auto"/>
                  </w:divBdr>
                  <w:divsChild>
                    <w:div w:id="111097420">
                      <w:marLeft w:val="0"/>
                      <w:marRight w:val="0"/>
                      <w:marTop w:val="0"/>
                      <w:marBottom w:val="0"/>
                      <w:divBdr>
                        <w:top w:val="none" w:sz="0" w:space="0" w:color="auto"/>
                        <w:left w:val="none" w:sz="0" w:space="0" w:color="auto"/>
                        <w:bottom w:val="none" w:sz="0" w:space="0" w:color="auto"/>
                        <w:right w:val="none" w:sz="0" w:space="0" w:color="auto"/>
                      </w:divBdr>
                    </w:div>
                  </w:divsChild>
                </w:div>
                <w:div w:id="247006662">
                  <w:marLeft w:val="0"/>
                  <w:marRight w:val="0"/>
                  <w:marTop w:val="0"/>
                  <w:marBottom w:val="0"/>
                  <w:divBdr>
                    <w:top w:val="none" w:sz="0" w:space="0" w:color="auto"/>
                    <w:left w:val="none" w:sz="0" w:space="0" w:color="auto"/>
                    <w:bottom w:val="none" w:sz="0" w:space="0" w:color="auto"/>
                    <w:right w:val="none" w:sz="0" w:space="0" w:color="auto"/>
                  </w:divBdr>
                  <w:divsChild>
                    <w:div w:id="1193494677">
                      <w:marLeft w:val="0"/>
                      <w:marRight w:val="0"/>
                      <w:marTop w:val="0"/>
                      <w:marBottom w:val="0"/>
                      <w:divBdr>
                        <w:top w:val="none" w:sz="0" w:space="0" w:color="auto"/>
                        <w:left w:val="none" w:sz="0" w:space="0" w:color="auto"/>
                        <w:bottom w:val="none" w:sz="0" w:space="0" w:color="auto"/>
                        <w:right w:val="none" w:sz="0" w:space="0" w:color="auto"/>
                      </w:divBdr>
                    </w:div>
                  </w:divsChild>
                </w:div>
                <w:div w:id="398329937">
                  <w:marLeft w:val="0"/>
                  <w:marRight w:val="0"/>
                  <w:marTop w:val="0"/>
                  <w:marBottom w:val="0"/>
                  <w:divBdr>
                    <w:top w:val="none" w:sz="0" w:space="0" w:color="auto"/>
                    <w:left w:val="none" w:sz="0" w:space="0" w:color="auto"/>
                    <w:bottom w:val="none" w:sz="0" w:space="0" w:color="auto"/>
                    <w:right w:val="none" w:sz="0" w:space="0" w:color="auto"/>
                  </w:divBdr>
                  <w:divsChild>
                    <w:div w:id="1718355966">
                      <w:marLeft w:val="0"/>
                      <w:marRight w:val="0"/>
                      <w:marTop w:val="0"/>
                      <w:marBottom w:val="0"/>
                      <w:divBdr>
                        <w:top w:val="none" w:sz="0" w:space="0" w:color="auto"/>
                        <w:left w:val="none" w:sz="0" w:space="0" w:color="auto"/>
                        <w:bottom w:val="none" w:sz="0" w:space="0" w:color="auto"/>
                        <w:right w:val="none" w:sz="0" w:space="0" w:color="auto"/>
                      </w:divBdr>
                    </w:div>
                  </w:divsChild>
                </w:div>
                <w:div w:id="540871899">
                  <w:marLeft w:val="0"/>
                  <w:marRight w:val="0"/>
                  <w:marTop w:val="0"/>
                  <w:marBottom w:val="0"/>
                  <w:divBdr>
                    <w:top w:val="none" w:sz="0" w:space="0" w:color="auto"/>
                    <w:left w:val="none" w:sz="0" w:space="0" w:color="auto"/>
                    <w:bottom w:val="none" w:sz="0" w:space="0" w:color="auto"/>
                    <w:right w:val="none" w:sz="0" w:space="0" w:color="auto"/>
                  </w:divBdr>
                  <w:divsChild>
                    <w:div w:id="2018723929">
                      <w:marLeft w:val="0"/>
                      <w:marRight w:val="0"/>
                      <w:marTop w:val="0"/>
                      <w:marBottom w:val="0"/>
                      <w:divBdr>
                        <w:top w:val="none" w:sz="0" w:space="0" w:color="auto"/>
                        <w:left w:val="none" w:sz="0" w:space="0" w:color="auto"/>
                        <w:bottom w:val="none" w:sz="0" w:space="0" w:color="auto"/>
                        <w:right w:val="none" w:sz="0" w:space="0" w:color="auto"/>
                      </w:divBdr>
                    </w:div>
                  </w:divsChild>
                </w:div>
                <w:div w:id="581640549">
                  <w:marLeft w:val="0"/>
                  <w:marRight w:val="0"/>
                  <w:marTop w:val="0"/>
                  <w:marBottom w:val="0"/>
                  <w:divBdr>
                    <w:top w:val="none" w:sz="0" w:space="0" w:color="auto"/>
                    <w:left w:val="none" w:sz="0" w:space="0" w:color="auto"/>
                    <w:bottom w:val="none" w:sz="0" w:space="0" w:color="auto"/>
                    <w:right w:val="none" w:sz="0" w:space="0" w:color="auto"/>
                  </w:divBdr>
                  <w:divsChild>
                    <w:div w:id="1404646688">
                      <w:marLeft w:val="0"/>
                      <w:marRight w:val="0"/>
                      <w:marTop w:val="0"/>
                      <w:marBottom w:val="0"/>
                      <w:divBdr>
                        <w:top w:val="none" w:sz="0" w:space="0" w:color="auto"/>
                        <w:left w:val="none" w:sz="0" w:space="0" w:color="auto"/>
                        <w:bottom w:val="none" w:sz="0" w:space="0" w:color="auto"/>
                        <w:right w:val="none" w:sz="0" w:space="0" w:color="auto"/>
                      </w:divBdr>
                    </w:div>
                  </w:divsChild>
                </w:div>
                <w:div w:id="649557189">
                  <w:marLeft w:val="0"/>
                  <w:marRight w:val="0"/>
                  <w:marTop w:val="0"/>
                  <w:marBottom w:val="0"/>
                  <w:divBdr>
                    <w:top w:val="none" w:sz="0" w:space="0" w:color="auto"/>
                    <w:left w:val="none" w:sz="0" w:space="0" w:color="auto"/>
                    <w:bottom w:val="none" w:sz="0" w:space="0" w:color="auto"/>
                    <w:right w:val="none" w:sz="0" w:space="0" w:color="auto"/>
                  </w:divBdr>
                  <w:divsChild>
                    <w:div w:id="331951108">
                      <w:marLeft w:val="0"/>
                      <w:marRight w:val="0"/>
                      <w:marTop w:val="0"/>
                      <w:marBottom w:val="0"/>
                      <w:divBdr>
                        <w:top w:val="none" w:sz="0" w:space="0" w:color="auto"/>
                        <w:left w:val="none" w:sz="0" w:space="0" w:color="auto"/>
                        <w:bottom w:val="none" w:sz="0" w:space="0" w:color="auto"/>
                        <w:right w:val="none" w:sz="0" w:space="0" w:color="auto"/>
                      </w:divBdr>
                    </w:div>
                  </w:divsChild>
                </w:div>
                <w:div w:id="808401781">
                  <w:marLeft w:val="0"/>
                  <w:marRight w:val="0"/>
                  <w:marTop w:val="0"/>
                  <w:marBottom w:val="0"/>
                  <w:divBdr>
                    <w:top w:val="none" w:sz="0" w:space="0" w:color="auto"/>
                    <w:left w:val="none" w:sz="0" w:space="0" w:color="auto"/>
                    <w:bottom w:val="none" w:sz="0" w:space="0" w:color="auto"/>
                    <w:right w:val="none" w:sz="0" w:space="0" w:color="auto"/>
                  </w:divBdr>
                  <w:divsChild>
                    <w:div w:id="1739546512">
                      <w:marLeft w:val="0"/>
                      <w:marRight w:val="0"/>
                      <w:marTop w:val="0"/>
                      <w:marBottom w:val="0"/>
                      <w:divBdr>
                        <w:top w:val="none" w:sz="0" w:space="0" w:color="auto"/>
                        <w:left w:val="none" w:sz="0" w:space="0" w:color="auto"/>
                        <w:bottom w:val="none" w:sz="0" w:space="0" w:color="auto"/>
                        <w:right w:val="none" w:sz="0" w:space="0" w:color="auto"/>
                      </w:divBdr>
                    </w:div>
                  </w:divsChild>
                </w:div>
                <w:div w:id="1111247959">
                  <w:marLeft w:val="0"/>
                  <w:marRight w:val="0"/>
                  <w:marTop w:val="0"/>
                  <w:marBottom w:val="0"/>
                  <w:divBdr>
                    <w:top w:val="none" w:sz="0" w:space="0" w:color="auto"/>
                    <w:left w:val="none" w:sz="0" w:space="0" w:color="auto"/>
                    <w:bottom w:val="none" w:sz="0" w:space="0" w:color="auto"/>
                    <w:right w:val="none" w:sz="0" w:space="0" w:color="auto"/>
                  </w:divBdr>
                  <w:divsChild>
                    <w:div w:id="1410928599">
                      <w:marLeft w:val="0"/>
                      <w:marRight w:val="0"/>
                      <w:marTop w:val="0"/>
                      <w:marBottom w:val="0"/>
                      <w:divBdr>
                        <w:top w:val="none" w:sz="0" w:space="0" w:color="auto"/>
                        <w:left w:val="none" w:sz="0" w:space="0" w:color="auto"/>
                        <w:bottom w:val="none" w:sz="0" w:space="0" w:color="auto"/>
                        <w:right w:val="none" w:sz="0" w:space="0" w:color="auto"/>
                      </w:divBdr>
                    </w:div>
                  </w:divsChild>
                </w:div>
                <w:div w:id="1159926798">
                  <w:marLeft w:val="0"/>
                  <w:marRight w:val="0"/>
                  <w:marTop w:val="0"/>
                  <w:marBottom w:val="0"/>
                  <w:divBdr>
                    <w:top w:val="none" w:sz="0" w:space="0" w:color="auto"/>
                    <w:left w:val="none" w:sz="0" w:space="0" w:color="auto"/>
                    <w:bottom w:val="none" w:sz="0" w:space="0" w:color="auto"/>
                    <w:right w:val="none" w:sz="0" w:space="0" w:color="auto"/>
                  </w:divBdr>
                  <w:divsChild>
                    <w:div w:id="1520657553">
                      <w:marLeft w:val="0"/>
                      <w:marRight w:val="0"/>
                      <w:marTop w:val="0"/>
                      <w:marBottom w:val="0"/>
                      <w:divBdr>
                        <w:top w:val="none" w:sz="0" w:space="0" w:color="auto"/>
                        <w:left w:val="none" w:sz="0" w:space="0" w:color="auto"/>
                        <w:bottom w:val="none" w:sz="0" w:space="0" w:color="auto"/>
                        <w:right w:val="none" w:sz="0" w:space="0" w:color="auto"/>
                      </w:divBdr>
                    </w:div>
                  </w:divsChild>
                </w:div>
                <w:div w:id="1168790121">
                  <w:marLeft w:val="0"/>
                  <w:marRight w:val="0"/>
                  <w:marTop w:val="0"/>
                  <w:marBottom w:val="0"/>
                  <w:divBdr>
                    <w:top w:val="none" w:sz="0" w:space="0" w:color="auto"/>
                    <w:left w:val="none" w:sz="0" w:space="0" w:color="auto"/>
                    <w:bottom w:val="none" w:sz="0" w:space="0" w:color="auto"/>
                    <w:right w:val="none" w:sz="0" w:space="0" w:color="auto"/>
                  </w:divBdr>
                  <w:divsChild>
                    <w:div w:id="180166637">
                      <w:marLeft w:val="0"/>
                      <w:marRight w:val="0"/>
                      <w:marTop w:val="0"/>
                      <w:marBottom w:val="0"/>
                      <w:divBdr>
                        <w:top w:val="none" w:sz="0" w:space="0" w:color="auto"/>
                        <w:left w:val="none" w:sz="0" w:space="0" w:color="auto"/>
                        <w:bottom w:val="none" w:sz="0" w:space="0" w:color="auto"/>
                        <w:right w:val="none" w:sz="0" w:space="0" w:color="auto"/>
                      </w:divBdr>
                    </w:div>
                  </w:divsChild>
                </w:div>
                <w:div w:id="1226142010">
                  <w:marLeft w:val="0"/>
                  <w:marRight w:val="0"/>
                  <w:marTop w:val="0"/>
                  <w:marBottom w:val="0"/>
                  <w:divBdr>
                    <w:top w:val="none" w:sz="0" w:space="0" w:color="auto"/>
                    <w:left w:val="none" w:sz="0" w:space="0" w:color="auto"/>
                    <w:bottom w:val="none" w:sz="0" w:space="0" w:color="auto"/>
                    <w:right w:val="none" w:sz="0" w:space="0" w:color="auto"/>
                  </w:divBdr>
                  <w:divsChild>
                    <w:div w:id="527984162">
                      <w:marLeft w:val="0"/>
                      <w:marRight w:val="0"/>
                      <w:marTop w:val="0"/>
                      <w:marBottom w:val="0"/>
                      <w:divBdr>
                        <w:top w:val="none" w:sz="0" w:space="0" w:color="auto"/>
                        <w:left w:val="none" w:sz="0" w:space="0" w:color="auto"/>
                        <w:bottom w:val="none" w:sz="0" w:space="0" w:color="auto"/>
                        <w:right w:val="none" w:sz="0" w:space="0" w:color="auto"/>
                      </w:divBdr>
                    </w:div>
                  </w:divsChild>
                </w:div>
                <w:div w:id="1353607511">
                  <w:marLeft w:val="0"/>
                  <w:marRight w:val="0"/>
                  <w:marTop w:val="0"/>
                  <w:marBottom w:val="0"/>
                  <w:divBdr>
                    <w:top w:val="none" w:sz="0" w:space="0" w:color="auto"/>
                    <w:left w:val="none" w:sz="0" w:space="0" w:color="auto"/>
                    <w:bottom w:val="none" w:sz="0" w:space="0" w:color="auto"/>
                    <w:right w:val="none" w:sz="0" w:space="0" w:color="auto"/>
                  </w:divBdr>
                  <w:divsChild>
                    <w:div w:id="1177958226">
                      <w:marLeft w:val="0"/>
                      <w:marRight w:val="0"/>
                      <w:marTop w:val="0"/>
                      <w:marBottom w:val="0"/>
                      <w:divBdr>
                        <w:top w:val="none" w:sz="0" w:space="0" w:color="auto"/>
                        <w:left w:val="none" w:sz="0" w:space="0" w:color="auto"/>
                        <w:bottom w:val="none" w:sz="0" w:space="0" w:color="auto"/>
                        <w:right w:val="none" w:sz="0" w:space="0" w:color="auto"/>
                      </w:divBdr>
                    </w:div>
                  </w:divsChild>
                </w:div>
                <w:div w:id="1414937841">
                  <w:marLeft w:val="0"/>
                  <w:marRight w:val="0"/>
                  <w:marTop w:val="0"/>
                  <w:marBottom w:val="0"/>
                  <w:divBdr>
                    <w:top w:val="none" w:sz="0" w:space="0" w:color="auto"/>
                    <w:left w:val="none" w:sz="0" w:space="0" w:color="auto"/>
                    <w:bottom w:val="none" w:sz="0" w:space="0" w:color="auto"/>
                    <w:right w:val="none" w:sz="0" w:space="0" w:color="auto"/>
                  </w:divBdr>
                  <w:divsChild>
                    <w:div w:id="919871149">
                      <w:marLeft w:val="0"/>
                      <w:marRight w:val="0"/>
                      <w:marTop w:val="0"/>
                      <w:marBottom w:val="0"/>
                      <w:divBdr>
                        <w:top w:val="none" w:sz="0" w:space="0" w:color="auto"/>
                        <w:left w:val="none" w:sz="0" w:space="0" w:color="auto"/>
                        <w:bottom w:val="none" w:sz="0" w:space="0" w:color="auto"/>
                        <w:right w:val="none" w:sz="0" w:space="0" w:color="auto"/>
                      </w:divBdr>
                    </w:div>
                  </w:divsChild>
                </w:div>
                <w:div w:id="1532298686">
                  <w:marLeft w:val="0"/>
                  <w:marRight w:val="0"/>
                  <w:marTop w:val="0"/>
                  <w:marBottom w:val="0"/>
                  <w:divBdr>
                    <w:top w:val="none" w:sz="0" w:space="0" w:color="auto"/>
                    <w:left w:val="none" w:sz="0" w:space="0" w:color="auto"/>
                    <w:bottom w:val="none" w:sz="0" w:space="0" w:color="auto"/>
                    <w:right w:val="none" w:sz="0" w:space="0" w:color="auto"/>
                  </w:divBdr>
                  <w:divsChild>
                    <w:div w:id="91169730">
                      <w:marLeft w:val="0"/>
                      <w:marRight w:val="0"/>
                      <w:marTop w:val="0"/>
                      <w:marBottom w:val="0"/>
                      <w:divBdr>
                        <w:top w:val="none" w:sz="0" w:space="0" w:color="auto"/>
                        <w:left w:val="none" w:sz="0" w:space="0" w:color="auto"/>
                        <w:bottom w:val="none" w:sz="0" w:space="0" w:color="auto"/>
                        <w:right w:val="none" w:sz="0" w:space="0" w:color="auto"/>
                      </w:divBdr>
                    </w:div>
                  </w:divsChild>
                </w:div>
                <w:div w:id="1564951423">
                  <w:marLeft w:val="0"/>
                  <w:marRight w:val="0"/>
                  <w:marTop w:val="0"/>
                  <w:marBottom w:val="0"/>
                  <w:divBdr>
                    <w:top w:val="none" w:sz="0" w:space="0" w:color="auto"/>
                    <w:left w:val="none" w:sz="0" w:space="0" w:color="auto"/>
                    <w:bottom w:val="none" w:sz="0" w:space="0" w:color="auto"/>
                    <w:right w:val="none" w:sz="0" w:space="0" w:color="auto"/>
                  </w:divBdr>
                  <w:divsChild>
                    <w:div w:id="1936786792">
                      <w:marLeft w:val="0"/>
                      <w:marRight w:val="0"/>
                      <w:marTop w:val="0"/>
                      <w:marBottom w:val="0"/>
                      <w:divBdr>
                        <w:top w:val="none" w:sz="0" w:space="0" w:color="auto"/>
                        <w:left w:val="none" w:sz="0" w:space="0" w:color="auto"/>
                        <w:bottom w:val="none" w:sz="0" w:space="0" w:color="auto"/>
                        <w:right w:val="none" w:sz="0" w:space="0" w:color="auto"/>
                      </w:divBdr>
                    </w:div>
                  </w:divsChild>
                </w:div>
                <w:div w:id="1803113294">
                  <w:marLeft w:val="0"/>
                  <w:marRight w:val="0"/>
                  <w:marTop w:val="0"/>
                  <w:marBottom w:val="0"/>
                  <w:divBdr>
                    <w:top w:val="none" w:sz="0" w:space="0" w:color="auto"/>
                    <w:left w:val="none" w:sz="0" w:space="0" w:color="auto"/>
                    <w:bottom w:val="none" w:sz="0" w:space="0" w:color="auto"/>
                    <w:right w:val="none" w:sz="0" w:space="0" w:color="auto"/>
                  </w:divBdr>
                  <w:divsChild>
                    <w:div w:id="1438986286">
                      <w:marLeft w:val="0"/>
                      <w:marRight w:val="0"/>
                      <w:marTop w:val="0"/>
                      <w:marBottom w:val="0"/>
                      <w:divBdr>
                        <w:top w:val="none" w:sz="0" w:space="0" w:color="auto"/>
                        <w:left w:val="none" w:sz="0" w:space="0" w:color="auto"/>
                        <w:bottom w:val="none" w:sz="0" w:space="0" w:color="auto"/>
                        <w:right w:val="none" w:sz="0" w:space="0" w:color="auto"/>
                      </w:divBdr>
                    </w:div>
                  </w:divsChild>
                </w:div>
                <w:div w:id="1898278943">
                  <w:marLeft w:val="0"/>
                  <w:marRight w:val="0"/>
                  <w:marTop w:val="0"/>
                  <w:marBottom w:val="0"/>
                  <w:divBdr>
                    <w:top w:val="none" w:sz="0" w:space="0" w:color="auto"/>
                    <w:left w:val="none" w:sz="0" w:space="0" w:color="auto"/>
                    <w:bottom w:val="none" w:sz="0" w:space="0" w:color="auto"/>
                    <w:right w:val="none" w:sz="0" w:space="0" w:color="auto"/>
                  </w:divBdr>
                  <w:divsChild>
                    <w:div w:id="326597810">
                      <w:marLeft w:val="0"/>
                      <w:marRight w:val="0"/>
                      <w:marTop w:val="0"/>
                      <w:marBottom w:val="0"/>
                      <w:divBdr>
                        <w:top w:val="none" w:sz="0" w:space="0" w:color="auto"/>
                        <w:left w:val="none" w:sz="0" w:space="0" w:color="auto"/>
                        <w:bottom w:val="none" w:sz="0" w:space="0" w:color="auto"/>
                        <w:right w:val="none" w:sz="0" w:space="0" w:color="auto"/>
                      </w:divBdr>
                    </w:div>
                  </w:divsChild>
                </w:div>
                <w:div w:id="2049983349">
                  <w:marLeft w:val="0"/>
                  <w:marRight w:val="0"/>
                  <w:marTop w:val="0"/>
                  <w:marBottom w:val="0"/>
                  <w:divBdr>
                    <w:top w:val="none" w:sz="0" w:space="0" w:color="auto"/>
                    <w:left w:val="none" w:sz="0" w:space="0" w:color="auto"/>
                    <w:bottom w:val="none" w:sz="0" w:space="0" w:color="auto"/>
                    <w:right w:val="none" w:sz="0" w:space="0" w:color="auto"/>
                  </w:divBdr>
                  <w:divsChild>
                    <w:div w:id="12648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6519">
          <w:marLeft w:val="0"/>
          <w:marRight w:val="0"/>
          <w:marTop w:val="0"/>
          <w:marBottom w:val="0"/>
          <w:divBdr>
            <w:top w:val="none" w:sz="0" w:space="0" w:color="auto"/>
            <w:left w:val="none" w:sz="0" w:space="0" w:color="auto"/>
            <w:bottom w:val="none" w:sz="0" w:space="0" w:color="auto"/>
            <w:right w:val="none" w:sz="0" w:space="0" w:color="auto"/>
          </w:divBdr>
        </w:div>
        <w:div w:id="1228110891">
          <w:marLeft w:val="0"/>
          <w:marRight w:val="0"/>
          <w:marTop w:val="0"/>
          <w:marBottom w:val="0"/>
          <w:divBdr>
            <w:top w:val="none" w:sz="0" w:space="0" w:color="auto"/>
            <w:left w:val="none" w:sz="0" w:space="0" w:color="auto"/>
            <w:bottom w:val="none" w:sz="0" w:space="0" w:color="auto"/>
            <w:right w:val="none" w:sz="0" w:space="0" w:color="auto"/>
          </w:divBdr>
        </w:div>
      </w:divsChild>
    </w:div>
    <w:div w:id="1525749333">
      <w:bodyDiv w:val="1"/>
      <w:marLeft w:val="0"/>
      <w:marRight w:val="0"/>
      <w:marTop w:val="0"/>
      <w:marBottom w:val="0"/>
      <w:divBdr>
        <w:top w:val="none" w:sz="0" w:space="0" w:color="auto"/>
        <w:left w:val="none" w:sz="0" w:space="0" w:color="auto"/>
        <w:bottom w:val="none" w:sz="0" w:space="0" w:color="auto"/>
        <w:right w:val="none" w:sz="0" w:space="0" w:color="auto"/>
      </w:divBdr>
    </w:div>
    <w:div w:id="1566987979">
      <w:bodyDiv w:val="1"/>
      <w:marLeft w:val="0"/>
      <w:marRight w:val="0"/>
      <w:marTop w:val="0"/>
      <w:marBottom w:val="0"/>
      <w:divBdr>
        <w:top w:val="none" w:sz="0" w:space="0" w:color="auto"/>
        <w:left w:val="none" w:sz="0" w:space="0" w:color="auto"/>
        <w:bottom w:val="none" w:sz="0" w:space="0" w:color="auto"/>
        <w:right w:val="none" w:sz="0" w:space="0" w:color="auto"/>
      </w:divBdr>
    </w:div>
    <w:div w:id="1725133077">
      <w:bodyDiv w:val="1"/>
      <w:marLeft w:val="0"/>
      <w:marRight w:val="0"/>
      <w:marTop w:val="0"/>
      <w:marBottom w:val="0"/>
      <w:divBdr>
        <w:top w:val="none" w:sz="0" w:space="0" w:color="auto"/>
        <w:left w:val="none" w:sz="0" w:space="0" w:color="auto"/>
        <w:bottom w:val="none" w:sz="0" w:space="0" w:color="auto"/>
        <w:right w:val="none" w:sz="0" w:space="0" w:color="auto"/>
      </w:divBdr>
    </w:div>
    <w:div w:id="1781143890">
      <w:bodyDiv w:val="1"/>
      <w:marLeft w:val="0"/>
      <w:marRight w:val="0"/>
      <w:marTop w:val="0"/>
      <w:marBottom w:val="0"/>
      <w:divBdr>
        <w:top w:val="none" w:sz="0" w:space="0" w:color="auto"/>
        <w:left w:val="none" w:sz="0" w:space="0" w:color="auto"/>
        <w:bottom w:val="none" w:sz="0" w:space="0" w:color="auto"/>
        <w:right w:val="none" w:sz="0" w:space="0" w:color="auto"/>
      </w:divBdr>
      <w:divsChild>
        <w:div w:id="28069633">
          <w:marLeft w:val="0"/>
          <w:marRight w:val="0"/>
          <w:marTop w:val="0"/>
          <w:marBottom w:val="0"/>
          <w:divBdr>
            <w:top w:val="none" w:sz="0" w:space="0" w:color="auto"/>
            <w:left w:val="none" w:sz="0" w:space="0" w:color="auto"/>
            <w:bottom w:val="none" w:sz="0" w:space="0" w:color="auto"/>
            <w:right w:val="none" w:sz="0" w:space="0" w:color="auto"/>
          </w:divBdr>
          <w:divsChild>
            <w:div w:id="313801305">
              <w:marLeft w:val="0"/>
              <w:marRight w:val="0"/>
              <w:marTop w:val="30"/>
              <w:marBottom w:val="30"/>
              <w:divBdr>
                <w:top w:val="none" w:sz="0" w:space="0" w:color="auto"/>
                <w:left w:val="none" w:sz="0" w:space="0" w:color="auto"/>
                <w:bottom w:val="none" w:sz="0" w:space="0" w:color="auto"/>
                <w:right w:val="none" w:sz="0" w:space="0" w:color="auto"/>
              </w:divBdr>
              <w:divsChild>
                <w:div w:id="20478974">
                  <w:marLeft w:val="0"/>
                  <w:marRight w:val="0"/>
                  <w:marTop w:val="0"/>
                  <w:marBottom w:val="0"/>
                  <w:divBdr>
                    <w:top w:val="none" w:sz="0" w:space="0" w:color="auto"/>
                    <w:left w:val="none" w:sz="0" w:space="0" w:color="auto"/>
                    <w:bottom w:val="none" w:sz="0" w:space="0" w:color="auto"/>
                    <w:right w:val="none" w:sz="0" w:space="0" w:color="auto"/>
                  </w:divBdr>
                  <w:divsChild>
                    <w:div w:id="1669285566">
                      <w:marLeft w:val="0"/>
                      <w:marRight w:val="0"/>
                      <w:marTop w:val="0"/>
                      <w:marBottom w:val="0"/>
                      <w:divBdr>
                        <w:top w:val="none" w:sz="0" w:space="0" w:color="auto"/>
                        <w:left w:val="none" w:sz="0" w:space="0" w:color="auto"/>
                        <w:bottom w:val="none" w:sz="0" w:space="0" w:color="auto"/>
                        <w:right w:val="none" w:sz="0" w:space="0" w:color="auto"/>
                      </w:divBdr>
                    </w:div>
                  </w:divsChild>
                </w:div>
                <w:div w:id="231702337">
                  <w:marLeft w:val="0"/>
                  <w:marRight w:val="0"/>
                  <w:marTop w:val="0"/>
                  <w:marBottom w:val="0"/>
                  <w:divBdr>
                    <w:top w:val="none" w:sz="0" w:space="0" w:color="auto"/>
                    <w:left w:val="none" w:sz="0" w:space="0" w:color="auto"/>
                    <w:bottom w:val="none" w:sz="0" w:space="0" w:color="auto"/>
                    <w:right w:val="none" w:sz="0" w:space="0" w:color="auto"/>
                  </w:divBdr>
                  <w:divsChild>
                    <w:div w:id="272398301">
                      <w:marLeft w:val="0"/>
                      <w:marRight w:val="0"/>
                      <w:marTop w:val="0"/>
                      <w:marBottom w:val="0"/>
                      <w:divBdr>
                        <w:top w:val="none" w:sz="0" w:space="0" w:color="auto"/>
                        <w:left w:val="none" w:sz="0" w:space="0" w:color="auto"/>
                        <w:bottom w:val="none" w:sz="0" w:space="0" w:color="auto"/>
                        <w:right w:val="none" w:sz="0" w:space="0" w:color="auto"/>
                      </w:divBdr>
                    </w:div>
                  </w:divsChild>
                </w:div>
                <w:div w:id="257719243">
                  <w:marLeft w:val="0"/>
                  <w:marRight w:val="0"/>
                  <w:marTop w:val="0"/>
                  <w:marBottom w:val="0"/>
                  <w:divBdr>
                    <w:top w:val="none" w:sz="0" w:space="0" w:color="auto"/>
                    <w:left w:val="none" w:sz="0" w:space="0" w:color="auto"/>
                    <w:bottom w:val="none" w:sz="0" w:space="0" w:color="auto"/>
                    <w:right w:val="none" w:sz="0" w:space="0" w:color="auto"/>
                  </w:divBdr>
                  <w:divsChild>
                    <w:div w:id="1110128177">
                      <w:marLeft w:val="0"/>
                      <w:marRight w:val="0"/>
                      <w:marTop w:val="0"/>
                      <w:marBottom w:val="0"/>
                      <w:divBdr>
                        <w:top w:val="none" w:sz="0" w:space="0" w:color="auto"/>
                        <w:left w:val="none" w:sz="0" w:space="0" w:color="auto"/>
                        <w:bottom w:val="none" w:sz="0" w:space="0" w:color="auto"/>
                        <w:right w:val="none" w:sz="0" w:space="0" w:color="auto"/>
                      </w:divBdr>
                    </w:div>
                  </w:divsChild>
                </w:div>
                <w:div w:id="355815774">
                  <w:marLeft w:val="0"/>
                  <w:marRight w:val="0"/>
                  <w:marTop w:val="0"/>
                  <w:marBottom w:val="0"/>
                  <w:divBdr>
                    <w:top w:val="none" w:sz="0" w:space="0" w:color="auto"/>
                    <w:left w:val="none" w:sz="0" w:space="0" w:color="auto"/>
                    <w:bottom w:val="none" w:sz="0" w:space="0" w:color="auto"/>
                    <w:right w:val="none" w:sz="0" w:space="0" w:color="auto"/>
                  </w:divBdr>
                  <w:divsChild>
                    <w:div w:id="1162502471">
                      <w:marLeft w:val="0"/>
                      <w:marRight w:val="0"/>
                      <w:marTop w:val="0"/>
                      <w:marBottom w:val="0"/>
                      <w:divBdr>
                        <w:top w:val="none" w:sz="0" w:space="0" w:color="auto"/>
                        <w:left w:val="none" w:sz="0" w:space="0" w:color="auto"/>
                        <w:bottom w:val="none" w:sz="0" w:space="0" w:color="auto"/>
                        <w:right w:val="none" w:sz="0" w:space="0" w:color="auto"/>
                      </w:divBdr>
                    </w:div>
                  </w:divsChild>
                </w:div>
                <w:div w:id="484511757">
                  <w:marLeft w:val="0"/>
                  <w:marRight w:val="0"/>
                  <w:marTop w:val="0"/>
                  <w:marBottom w:val="0"/>
                  <w:divBdr>
                    <w:top w:val="none" w:sz="0" w:space="0" w:color="auto"/>
                    <w:left w:val="none" w:sz="0" w:space="0" w:color="auto"/>
                    <w:bottom w:val="none" w:sz="0" w:space="0" w:color="auto"/>
                    <w:right w:val="none" w:sz="0" w:space="0" w:color="auto"/>
                  </w:divBdr>
                  <w:divsChild>
                    <w:div w:id="1061633206">
                      <w:marLeft w:val="0"/>
                      <w:marRight w:val="0"/>
                      <w:marTop w:val="0"/>
                      <w:marBottom w:val="0"/>
                      <w:divBdr>
                        <w:top w:val="none" w:sz="0" w:space="0" w:color="auto"/>
                        <w:left w:val="none" w:sz="0" w:space="0" w:color="auto"/>
                        <w:bottom w:val="none" w:sz="0" w:space="0" w:color="auto"/>
                        <w:right w:val="none" w:sz="0" w:space="0" w:color="auto"/>
                      </w:divBdr>
                    </w:div>
                  </w:divsChild>
                </w:div>
                <w:div w:id="486746054">
                  <w:marLeft w:val="0"/>
                  <w:marRight w:val="0"/>
                  <w:marTop w:val="0"/>
                  <w:marBottom w:val="0"/>
                  <w:divBdr>
                    <w:top w:val="none" w:sz="0" w:space="0" w:color="auto"/>
                    <w:left w:val="none" w:sz="0" w:space="0" w:color="auto"/>
                    <w:bottom w:val="none" w:sz="0" w:space="0" w:color="auto"/>
                    <w:right w:val="none" w:sz="0" w:space="0" w:color="auto"/>
                  </w:divBdr>
                  <w:divsChild>
                    <w:div w:id="1098521072">
                      <w:marLeft w:val="0"/>
                      <w:marRight w:val="0"/>
                      <w:marTop w:val="0"/>
                      <w:marBottom w:val="0"/>
                      <w:divBdr>
                        <w:top w:val="none" w:sz="0" w:space="0" w:color="auto"/>
                        <w:left w:val="none" w:sz="0" w:space="0" w:color="auto"/>
                        <w:bottom w:val="none" w:sz="0" w:space="0" w:color="auto"/>
                        <w:right w:val="none" w:sz="0" w:space="0" w:color="auto"/>
                      </w:divBdr>
                    </w:div>
                  </w:divsChild>
                </w:div>
                <w:div w:id="503014170">
                  <w:marLeft w:val="0"/>
                  <w:marRight w:val="0"/>
                  <w:marTop w:val="0"/>
                  <w:marBottom w:val="0"/>
                  <w:divBdr>
                    <w:top w:val="none" w:sz="0" w:space="0" w:color="auto"/>
                    <w:left w:val="none" w:sz="0" w:space="0" w:color="auto"/>
                    <w:bottom w:val="none" w:sz="0" w:space="0" w:color="auto"/>
                    <w:right w:val="none" w:sz="0" w:space="0" w:color="auto"/>
                  </w:divBdr>
                  <w:divsChild>
                    <w:div w:id="696585294">
                      <w:marLeft w:val="0"/>
                      <w:marRight w:val="0"/>
                      <w:marTop w:val="0"/>
                      <w:marBottom w:val="0"/>
                      <w:divBdr>
                        <w:top w:val="none" w:sz="0" w:space="0" w:color="auto"/>
                        <w:left w:val="none" w:sz="0" w:space="0" w:color="auto"/>
                        <w:bottom w:val="none" w:sz="0" w:space="0" w:color="auto"/>
                        <w:right w:val="none" w:sz="0" w:space="0" w:color="auto"/>
                      </w:divBdr>
                    </w:div>
                  </w:divsChild>
                </w:div>
                <w:div w:id="629093169">
                  <w:marLeft w:val="0"/>
                  <w:marRight w:val="0"/>
                  <w:marTop w:val="0"/>
                  <w:marBottom w:val="0"/>
                  <w:divBdr>
                    <w:top w:val="none" w:sz="0" w:space="0" w:color="auto"/>
                    <w:left w:val="none" w:sz="0" w:space="0" w:color="auto"/>
                    <w:bottom w:val="none" w:sz="0" w:space="0" w:color="auto"/>
                    <w:right w:val="none" w:sz="0" w:space="0" w:color="auto"/>
                  </w:divBdr>
                  <w:divsChild>
                    <w:div w:id="1633902993">
                      <w:marLeft w:val="0"/>
                      <w:marRight w:val="0"/>
                      <w:marTop w:val="0"/>
                      <w:marBottom w:val="0"/>
                      <w:divBdr>
                        <w:top w:val="none" w:sz="0" w:space="0" w:color="auto"/>
                        <w:left w:val="none" w:sz="0" w:space="0" w:color="auto"/>
                        <w:bottom w:val="none" w:sz="0" w:space="0" w:color="auto"/>
                        <w:right w:val="none" w:sz="0" w:space="0" w:color="auto"/>
                      </w:divBdr>
                    </w:div>
                  </w:divsChild>
                </w:div>
                <w:div w:id="685793142">
                  <w:marLeft w:val="0"/>
                  <w:marRight w:val="0"/>
                  <w:marTop w:val="0"/>
                  <w:marBottom w:val="0"/>
                  <w:divBdr>
                    <w:top w:val="none" w:sz="0" w:space="0" w:color="auto"/>
                    <w:left w:val="none" w:sz="0" w:space="0" w:color="auto"/>
                    <w:bottom w:val="none" w:sz="0" w:space="0" w:color="auto"/>
                    <w:right w:val="none" w:sz="0" w:space="0" w:color="auto"/>
                  </w:divBdr>
                  <w:divsChild>
                    <w:div w:id="2005669604">
                      <w:marLeft w:val="0"/>
                      <w:marRight w:val="0"/>
                      <w:marTop w:val="0"/>
                      <w:marBottom w:val="0"/>
                      <w:divBdr>
                        <w:top w:val="none" w:sz="0" w:space="0" w:color="auto"/>
                        <w:left w:val="none" w:sz="0" w:space="0" w:color="auto"/>
                        <w:bottom w:val="none" w:sz="0" w:space="0" w:color="auto"/>
                        <w:right w:val="none" w:sz="0" w:space="0" w:color="auto"/>
                      </w:divBdr>
                    </w:div>
                  </w:divsChild>
                </w:div>
                <w:div w:id="746154539">
                  <w:marLeft w:val="0"/>
                  <w:marRight w:val="0"/>
                  <w:marTop w:val="0"/>
                  <w:marBottom w:val="0"/>
                  <w:divBdr>
                    <w:top w:val="none" w:sz="0" w:space="0" w:color="auto"/>
                    <w:left w:val="none" w:sz="0" w:space="0" w:color="auto"/>
                    <w:bottom w:val="none" w:sz="0" w:space="0" w:color="auto"/>
                    <w:right w:val="none" w:sz="0" w:space="0" w:color="auto"/>
                  </w:divBdr>
                  <w:divsChild>
                    <w:div w:id="1346902536">
                      <w:marLeft w:val="0"/>
                      <w:marRight w:val="0"/>
                      <w:marTop w:val="0"/>
                      <w:marBottom w:val="0"/>
                      <w:divBdr>
                        <w:top w:val="none" w:sz="0" w:space="0" w:color="auto"/>
                        <w:left w:val="none" w:sz="0" w:space="0" w:color="auto"/>
                        <w:bottom w:val="none" w:sz="0" w:space="0" w:color="auto"/>
                        <w:right w:val="none" w:sz="0" w:space="0" w:color="auto"/>
                      </w:divBdr>
                    </w:div>
                  </w:divsChild>
                </w:div>
                <w:div w:id="1038703268">
                  <w:marLeft w:val="0"/>
                  <w:marRight w:val="0"/>
                  <w:marTop w:val="0"/>
                  <w:marBottom w:val="0"/>
                  <w:divBdr>
                    <w:top w:val="none" w:sz="0" w:space="0" w:color="auto"/>
                    <w:left w:val="none" w:sz="0" w:space="0" w:color="auto"/>
                    <w:bottom w:val="none" w:sz="0" w:space="0" w:color="auto"/>
                    <w:right w:val="none" w:sz="0" w:space="0" w:color="auto"/>
                  </w:divBdr>
                  <w:divsChild>
                    <w:div w:id="1600793431">
                      <w:marLeft w:val="0"/>
                      <w:marRight w:val="0"/>
                      <w:marTop w:val="0"/>
                      <w:marBottom w:val="0"/>
                      <w:divBdr>
                        <w:top w:val="none" w:sz="0" w:space="0" w:color="auto"/>
                        <w:left w:val="none" w:sz="0" w:space="0" w:color="auto"/>
                        <w:bottom w:val="none" w:sz="0" w:space="0" w:color="auto"/>
                        <w:right w:val="none" w:sz="0" w:space="0" w:color="auto"/>
                      </w:divBdr>
                    </w:div>
                  </w:divsChild>
                </w:div>
                <w:div w:id="1110664484">
                  <w:marLeft w:val="0"/>
                  <w:marRight w:val="0"/>
                  <w:marTop w:val="0"/>
                  <w:marBottom w:val="0"/>
                  <w:divBdr>
                    <w:top w:val="none" w:sz="0" w:space="0" w:color="auto"/>
                    <w:left w:val="none" w:sz="0" w:space="0" w:color="auto"/>
                    <w:bottom w:val="none" w:sz="0" w:space="0" w:color="auto"/>
                    <w:right w:val="none" w:sz="0" w:space="0" w:color="auto"/>
                  </w:divBdr>
                  <w:divsChild>
                    <w:div w:id="1909069754">
                      <w:marLeft w:val="0"/>
                      <w:marRight w:val="0"/>
                      <w:marTop w:val="0"/>
                      <w:marBottom w:val="0"/>
                      <w:divBdr>
                        <w:top w:val="none" w:sz="0" w:space="0" w:color="auto"/>
                        <w:left w:val="none" w:sz="0" w:space="0" w:color="auto"/>
                        <w:bottom w:val="none" w:sz="0" w:space="0" w:color="auto"/>
                        <w:right w:val="none" w:sz="0" w:space="0" w:color="auto"/>
                      </w:divBdr>
                    </w:div>
                  </w:divsChild>
                </w:div>
                <w:div w:id="1125273102">
                  <w:marLeft w:val="0"/>
                  <w:marRight w:val="0"/>
                  <w:marTop w:val="0"/>
                  <w:marBottom w:val="0"/>
                  <w:divBdr>
                    <w:top w:val="none" w:sz="0" w:space="0" w:color="auto"/>
                    <w:left w:val="none" w:sz="0" w:space="0" w:color="auto"/>
                    <w:bottom w:val="none" w:sz="0" w:space="0" w:color="auto"/>
                    <w:right w:val="none" w:sz="0" w:space="0" w:color="auto"/>
                  </w:divBdr>
                  <w:divsChild>
                    <w:div w:id="553930225">
                      <w:marLeft w:val="0"/>
                      <w:marRight w:val="0"/>
                      <w:marTop w:val="0"/>
                      <w:marBottom w:val="0"/>
                      <w:divBdr>
                        <w:top w:val="none" w:sz="0" w:space="0" w:color="auto"/>
                        <w:left w:val="none" w:sz="0" w:space="0" w:color="auto"/>
                        <w:bottom w:val="none" w:sz="0" w:space="0" w:color="auto"/>
                        <w:right w:val="none" w:sz="0" w:space="0" w:color="auto"/>
                      </w:divBdr>
                    </w:div>
                  </w:divsChild>
                </w:div>
                <w:div w:id="1188367867">
                  <w:marLeft w:val="0"/>
                  <w:marRight w:val="0"/>
                  <w:marTop w:val="0"/>
                  <w:marBottom w:val="0"/>
                  <w:divBdr>
                    <w:top w:val="none" w:sz="0" w:space="0" w:color="auto"/>
                    <w:left w:val="none" w:sz="0" w:space="0" w:color="auto"/>
                    <w:bottom w:val="none" w:sz="0" w:space="0" w:color="auto"/>
                    <w:right w:val="none" w:sz="0" w:space="0" w:color="auto"/>
                  </w:divBdr>
                  <w:divsChild>
                    <w:div w:id="289284917">
                      <w:marLeft w:val="0"/>
                      <w:marRight w:val="0"/>
                      <w:marTop w:val="0"/>
                      <w:marBottom w:val="0"/>
                      <w:divBdr>
                        <w:top w:val="none" w:sz="0" w:space="0" w:color="auto"/>
                        <w:left w:val="none" w:sz="0" w:space="0" w:color="auto"/>
                        <w:bottom w:val="none" w:sz="0" w:space="0" w:color="auto"/>
                        <w:right w:val="none" w:sz="0" w:space="0" w:color="auto"/>
                      </w:divBdr>
                    </w:div>
                  </w:divsChild>
                </w:div>
                <w:div w:id="1189873055">
                  <w:marLeft w:val="0"/>
                  <w:marRight w:val="0"/>
                  <w:marTop w:val="0"/>
                  <w:marBottom w:val="0"/>
                  <w:divBdr>
                    <w:top w:val="none" w:sz="0" w:space="0" w:color="auto"/>
                    <w:left w:val="none" w:sz="0" w:space="0" w:color="auto"/>
                    <w:bottom w:val="none" w:sz="0" w:space="0" w:color="auto"/>
                    <w:right w:val="none" w:sz="0" w:space="0" w:color="auto"/>
                  </w:divBdr>
                  <w:divsChild>
                    <w:div w:id="41292269">
                      <w:marLeft w:val="0"/>
                      <w:marRight w:val="0"/>
                      <w:marTop w:val="0"/>
                      <w:marBottom w:val="0"/>
                      <w:divBdr>
                        <w:top w:val="none" w:sz="0" w:space="0" w:color="auto"/>
                        <w:left w:val="none" w:sz="0" w:space="0" w:color="auto"/>
                        <w:bottom w:val="none" w:sz="0" w:space="0" w:color="auto"/>
                        <w:right w:val="none" w:sz="0" w:space="0" w:color="auto"/>
                      </w:divBdr>
                    </w:div>
                  </w:divsChild>
                </w:div>
                <w:div w:id="1219048684">
                  <w:marLeft w:val="0"/>
                  <w:marRight w:val="0"/>
                  <w:marTop w:val="0"/>
                  <w:marBottom w:val="0"/>
                  <w:divBdr>
                    <w:top w:val="none" w:sz="0" w:space="0" w:color="auto"/>
                    <w:left w:val="none" w:sz="0" w:space="0" w:color="auto"/>
                    <w:bottom w:val="none" w:sz="0" w:space="0" w:color="auto"/>
                    <w:right w:val="none" w:sz="0" w:space="0" w:color="auto"/>
                  </w:divBdr>
                  <w:divsChild>
                    <w:div w:id="775978405">
                      <w:marLeft w:val="0"/>
                      <w:marRight w:val="0"/>
                      <w:marTop w:val="0"/>
                      <w:marBottom w:val="0"/>
                      <w:divBdr>
                        <w:top w:val="none" w:sz="0" w:space="0" w:color="auto"/>
                        <w:left w:val="none" w:sz="0" w:space="0" w:color="auto"/>
                        <w:bottom w:val="none" w:sz="0" w:space="0" w:color="auto"/>
                        <w:right w:val="none" w:sz="0" w:space="0" w:color="auto"/>
                      </w:divBdr>
                    </w:div>
                  </w:divsChild>
                </w:div>
                <w:div w:id="1279140221">
                  <w:marLeft w:val="0"/>
                  <w:marRight w:val="0"/>
                  <w:marTop w:val="0"/>
                  <w:marBottom w:val="0"/>
                  <w:divBdr>
                    <w:top w:val="none" w:sz="0" w:space="0" w:color="auto"/>
                    <w:left w:val="none" w:sz="0" w:space="0" w:color="auto"/>
                    <w:bottom w:val="none" w:sz="0" w:space="0" w:color="auto"/>
                    <w:right w:val="none" w:sz="0" w:space="0" w:color="auto"/>
                  </w:divBdr>
                  <w:divsChild>
                    <w:div w:id="331490702">
                      <w:marLeft w:val="0"/>
                      <w:marRight w:val="0"/>
                      <w:marTop w:val="0"/>
                      <w:marBottom w:val="0"/>
                      <w:divBdr>
                        <w:top w:val="none" w:sz="0" w:space="0" w:color="auto"/>
                        <w:left w:val="none" w:sz="0" w:space="0" w:color="auto"/>
                        <w:bottom w:val="none" w:sz="0" w:space="0" w:color="auto"/>
                        <w:right w:val="none" w:sz="0" w:space="0" w:color="auto"/>
                      </w:divBdr>
                    </w:div>
                  </w:divsChild>
                </w:div>
                <w:div w:id="1402945439">
                  <w:marLeft w:val="0"/>
                  <w:marRight w:val="0"/>
                  <w:marTop w:val="0"/>
                  <w:marBottom w:val="0"/>
                  <w:divBdr>
                    <w:top w:val="none" w:sz="0" w:space="0" w:color="auto"/>
                    <w:left w:val="none" w:sz="0" w:space="0" w:color="auto"/>
                    <w:bottom w:val="none" w:sz="0" w:space="0" w:color="auto"/>
                    <w:right w:val="none" w:sz="0" w:space="0" w:color="auto"/>
                  </w:divBdr>
                  <w:divsChild>
                    <w:div w:id="1681004514">
                      <w:marLeft w:val="0"/>
                      <w:marRight w:val="0"/>
                      <w:marTop w:val="0"/>
                      <w:marBottom w:val="0"/>
                      <w:divBdr>
                        <w:top w:val="none" w:sz="0" w:space="0" w:color="auto"/>
                        <w:left w:val="none" w:sz="0" w:space="0" w:color="auto"/>
                        <w:bottom w:val="none" w:sz="0" w:space="0" w:color="auto"/>
                        <w:right w:val="none" w:sz="0" w:space="0" w:color="auto"/>
                      </w:divBdr>
                    </w:div>
                  </w:divsChild>
                </w:div>
                <w:div w:id="1704672725">
                  <w:marLeft w:val="0"/>
                  <w:marRight w:val="0"/>
                  <w:marTop w:val="0"/>
                  <w:marBottom w:val="0"/>
                  <w:divBdr>
                    <w:top w:val="none" w:sz="0" w:space="0" w:color="auto"/>
                    <w:left w:val="none" w:sz="0" w:space="0" w:color="auto"/>
                    <w:bottom w:val="none" w:sz="0" w:space="0" w:color="auto"/>
                    <w:right w:val="none" w:sz="0" w:space="0" w:color="auto"/>
                  </w:divBdr>
                  <w:divsChild>
                    <w:div w:id="915286125">
                      <w:marLeft w:val="0"/>
                      <w:marRight w:val="0"/>
                      <w:marTop w:val="0"/>
                      <w:marBottom w:val="0"/>
                      <w:divBdr>
                        <w:top w:val="none" w:sz="0" w:space="0" w:color="auto"/>
                        <w:left w:val="none" w:sz="0" w:space="0" w:color="auto"/>
                        <w:bottom w:val="none" w:sz="0" w:space="0" w:color="auto"/>
                        <w:right w:val="none" w:sz="0" w:space="0" w:color="auto"/>
                      </w:divBdr>
                    </w:div>
                  </w:divsChild>
                </w:div>
                <w:div w:id="1724402288">
                  <w:marLeft w:val="0"/>
                  <w:marRight w:val="0"/>
                  <w:marTop w:val="0"/>
                  <w:marBottom w:val="0"/>
                  <w:divBdr>
                    <w:top w:val="none" w:sz="0" w:space="0" w:color="auto"/>
                    <w:left w:val="none" w:sz="0" w:space="0" w:color="auto"/>
                    <w:bottom w:val="none" w:sz="0" w:space="0" w:color="auto"/>
                    <w:right w:val="none" w:sz="0" w:space="0" w:color="auto"/>
                  </w:divBdr>
                  <w:divsChild>
                    <w:div w:id="744841712">
                      <w:marLeft w:val="0"/>
                      <w:marRight w:val="0"/>
                      <w:marTop w:val="0"/>
                      <w:marBottom w:val="0"/>
                      <w:divBdr>
                        <w:top w:val="none" w:sz="0" w:space="0" w:color="auto"/>
                        <w:left w:val="none" w:sz="0" w:space="0" w:color="auto"/>
                        <w:bottom w:val="none" w:sz="0" w:space="0" w:color="auto"/>
                        <w:right w:val="none" w:sz="0" w:space="0" w:color="auto"/>
                      </w:divBdr>
                    </w:div>
                  </w:divsChild>
                </w:div>
                <w:div w:id="1733624877">
                  <w:marLeft w:val="0"/>
                  <w:marRight w:val="0"/>
                  <w:marTop w:val="0"/>
                  <w:marBottom w:val="0"/>
                  <w:divBdr>
                    <w:top w:val="none" w:sz="0" w:space="0" w:color="auto"/>
                    <w:left w:val="none" w:sz="0" w:space="0" w:color="auto"/>
                    <w:bottom w:val="none" w:sz="0" w:space="0" w:color="auto"/>
                    <w:right w:val="none" w:sz="0" w:space="0" w:color="auto"/>
                  </w:divBdr>
                  <w:divsChild>
                    <w:div w:id="1503548658">
                      <w:marLeft w:val="0"/>
                      <w:marRight w:val="0"/>
                      <w:marTop w:val="0"/>
                      <w:marBottom w:val="0"/>
                      <w:divBdr>
                        <w:top w:val="none" w:sz="0" w:space="0" w:color="auto"/>
                        <w:left w:val="none" w:sz="0" w:space="0" w:color="auto"/>
                        <w:bottom w:val="none" w:sz="0" w:space="0" w:color="auto"/>
                        <w:right w:val="none" w:sz="0" w:space="0" w:color="auto"/>
                      </w:divBdr>
                    </w:div>
                  </w:divsChild>
                </w:div>
                <w:div w:id="1884488195">
                  <w:marLeft w:val="0"/>
                  <w:marRight w:val="0"/>
                  <w:marTop w:val="0"/>
                  <w:marBottom w:val="0"/>
                  <w:divBdr>
                    <w:top w:val="none" w:sz="0" w:space="0" w:color="auto"/>
                    <w:left w:val="none" w:sz="0" w:space="0" w:color="auto"/>
                    <w:bottom w:val="none" w:sz="0" w:space="0" w:color="auto"/>
                    <w:right w:val="none" w:sz="0" w:space="0" w:color="auto"/>
                  </w:divBdr>
                  <w:divsChild>
                    <w:div w:id="11499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52454">
          <w:marLeft w:val="0"/>
          <w:marRight w:val="0"/>
          <w:marTop w:val="0"/>
          <w:marBottom w:val="0"/>
          <w:divBdr>
            <w:top w:val="none" w:sz="0" w:space="0" w:color="auto"/>
            <w:left w:val="none" w:sz="0" w:space="0" w:color="auto"/>
            <w:bottom w:val="none" w:sz="0" w:space="0" w:color="auto"/>
            <w:right w:val="none" w:sz="0" w:space="0" w:color="auto"/>
          </w:divBdr>
        </w:div>
        <w:div w:id="1942057352">
          <w:marLeft w:val="0"/>
          <w:marRight w:val="0"/>
          <w:marTop w:val="0"/>
          <w:marBottom w:val="0"/>
          <w:divBdr>
            <w:top w:val="none" w:sz="0" w:space="0" w:color="auto"/>
            <w:left w:val="none" w:sz="0" w:space="0" w:color="auto"/>
            <w:bottom w:val="none" w:sz="0" w:space="0" w:color="auto"/>
            <w:right w:val="none" w:sz="0" w:space="0" w:color="auto"/>
          </w:divBdr>
        </w:div>
      </w:divsChild>
    </w:div>
    <w:div w:id="1894731375">
      <w:bodyDiv w:val="1"/>
      <w:marLeft w:val="0"/>
      <w:marRight w:val="0"/>
      <w:marTop w:val="0"/>
      <w:marBottom w:val="0"/>
      <w:divBdr>
        <w:top w:val="none" w:sz="0" w:space="0" w:color="auto"/>
        <w:left w:val="none" w:sz="0" w:space="0" w:color="auto"/>
        <w:bottom w:val="none" w:sz="0" w:space="0" w:color="auto"/>
        <w:right w:val="none" w:sz="0" w:space="0" w:color="auto"/>
      </w:divBdr>
    </w:div>
    <w:div w:id="1983463814">
      <w:bodyDiv w:val="1"/>
      <w:marLeft w:val="0"/>
      <w:marRight w:val="0"/>
      <w:marTop w:val="0"/>
      <w:marBottom w:val="0"/>
      <w:divBdr>
        <w:top w:val="none" w:sz="0" w:space="0" w:color="auto"/>
        <w:left w:val="none" w:sz="0" w:space="0" w:color="auto"/>
        <w:bottom w:val="none" w:sz="0" w:space="0" w:color="auto"/>
        <w:right w:val="none" w:sz="0" w:space="0" w:color="auto"/>
      </w:divBdr>
    </w:div>
    <w:div w:id="2063627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r.govt.nz/priority-themes/inclusion.html" TargetMode="Externa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rbnz.govt.nz/have-your-sa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nsultations.rbnz.govt.nz"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6" Type="http://schemas.openxmlformats.org/officeDocument/2006/relationships/hyperlink" Target="https://www.fma.govt.nz/assets/Research/Consumer-Confidence-Survey-Overview-Report-2024.pdf" TargetMode="External"/><Relationship Id="rId21" Type="http://schemas.openxmlformats.org/officeDocument/2006/relationships/hyperlink" Target="https://comcom.govt.nz/__data/assets/pdf_file/0019/362035/Final-report-Personal-banking-services-market-study-20-August-2024-Amended-27-August-2024.pdf" TargetMode="External"/><Relationship Id="rId42" Type="http://schemas.openxmlformats.org/officeDocument/2006/relationships/hyperlink" Target="http://www.comcom.govt.nz" TargetMode="External"/><Relationship Id="rId47" Type="http://schemas.openxmlformats.org/officeDocument/2006/relationships/hyperlink" Target="https://documents1.worldbank.org/curated/en/099011624132054588/pdf/P1787031cca90801019d011a41f21efe348.pdf" TargetMode="External"/><Relationship Id="rId63" Type="http://schemas.openxmlformats.org/officeDocument/2006/relationships/hyperlink" Target="https://download.asic.gov.au/media/rarnv1ss/rep785-published-15-july-2024-20240715.pdf" TargetMode="External"/><Relationship Id="rId68" Type="http://schemas.openxmlformats.org/officeDocument/2006/relationships/hyperlink" Target="https://www.afi-global.org/wp-content/uploads/2024/10/Digital-Financial-Services-Regulation-Current-State-of-Practice-Report.pdf" TargetMode="External"/><Relationship Id="rId84" Type="http://schemas.openxmlformats.org/officeDocument/2006/relationships/hyperlink" Target="https://www.cofr.govt.nz/files/regulatory-charter-financial-markets.pdf" TargetMode="External"/><Relationship Id="rId89" Type="http://schemas.openxmlformats.org/officeDocument/2006/relationships/hyperlink" Target="https://comcom.govt.nz/__data/assets/pdf_file/0012/91011/Authorisation-Guidelines-June-2023.pdf" TargetMode="External"/><Relationship Id="rId16" Type="http://schemas.openxmlformats.org/officeDocument/2006/relationships/hyperlink" Target="https://www.fincap.org.nz/blog/paying-the-price-a-report-into-issues-prisoners-face-around-access-to-banking/" TargetMode="External"/><Relationship Id="rId11" Type="http://schemas.openxmlformats.org/officeDocument/2006/relationships/hyperlink" Target="https://www.cofr.govt.nz/news-and-publications/quarterly-statement-by-cofr-august-2024.html" TargetMode="External"/><Relationship Id="rId32" Type="http://schemas.openxmlformats.org/officeDocument/2006/relationships/hyperlink" Target="https://www.rbnz.govt.nz/hub/publications/financial-inclusion-report/2025/first-steps-to-financial-inclusion" TargetMode="External"/><Relationship Id="rId37" Type="http://schemas.openxmlformats.org/officeDocument/2006/relationships/hyperlink" Target="https://www.rbnz.govt.nz/hub/publications/financial-stability-report/2023/may-2023/fsr-may-23-box-b" TargetMode="External"/><Relationship Id="rId53" Type="http://schemas.openxmlformats.org/officeDocument/2006/relationships/hyperlink" Target="https://assets.publishing.service.gov.uk/media/5ff33d77e90e0776ab4e2093/Basic_bank_account_report__003_.pdf" TargetMode="External"/><Relationship Id="rId58" Type="http://schemas.openxmlformats.org/officeDocument/2006/relationships/hyperlink" Target="https://assets.publishing.service.gov.uk/media/5a7d4effe5274a33be64863c/141211_basic_accounts_agreement_text.pdf" TargetMode="External"/><Relationship Id="rId74" Type="http://schemas.openxmlformats.org/officeDocument/2006/relationships/hyperlink" Target="https://efina.org.ng/wp-content/uploads/2024/03/A2F-2023-Event-Day-Presentation-Version4-1.pdf" TargetMode="External"/><Relationship Id="rId79" Type="http://schemas.openxmlformats.org/officeDocument/2006/relationships/hyperlink" Target="https://documents1.worldbank.org/curated/en/099011624132054588/pdf/P1787031cca90801019d011a41f21efe348.pdf" TargetMode="External"/><Relationship Id="rId5" Type="http://schemas.openxmlformats.org/officeDocument/2006/relationships/hyperlink" Target="https://www.worldbank.org/en/publication/globalfindex" TargetMode="External"/><Relationship Id="rId90" Type="http://schemas.openxmlformats.org/officeDocument/2006/relationships/hyperlink" Target="https://comcom.govt.nz/business/avoiding-anti-competitive-behaviour/collaboration-and-sustainability-guidelines" TargetMode="External"/><Relationship Id="rId22" Type="http://schemas.openxmlformats.org/officeDocument/2006/relationships/hyperlink" Target="https://www.beehive.govt.nz/release/supporting-better-financial-outcomes-kiwis" TargetMode="External"/><Relationship Id="rId27" Type="http://schemas.openxmlformats.org/officeDocument/2006/relationships/hyperlink" Target="https://www.parliament.nz/resource/en-NZ/53SCPET_EVI_1ef2f054-2701-4f79-0322-08db5a64c54a_PET4443/5e9eee3c628d3c0dd9342a96617b56b16bc1ece1" TargetMode="External"/><Relationship Id="rId43" Type="http://schemas.openxmlformats.org/officeDocument/2006/relationships/hyperlink" Target="https://www.worldbank.org/en/topic/financialinclusion/overview" TargetMode="External"/><Relationship Id="rId48" Type="http://schemas.openxmlformats.org/officeDocument/2006/relationships/hyperlink" Target="https://www.europarl.europa.eu/RegData/docs_autres_institutions/commission_europeenne/sec/2011/0906/COM_SEC(2011)0906_EN.pdf" TargetMode="External"/><Relationship Id="rId64" Type="http://schemas.openxmlformats.org/officeDocument/2006/relationships/hyperlink" Target="https://download.asic.gov.au/media/rarnv1ss/rep785-published-15-july-2024-20240715.pdf" TargetMode="External"/><Relationship Id="rId69" Type="http://schemas.openxmlformats.org/officeDocument/2006/relationships/hyperlink" Target="https://www.findevgateway.org/sites/default/files/publications/submissions/72016/Emergency%20Disbursements%20during%20COVID-19_20200718.pdf" TargetMode="External"/><Relationship Id="rId8" Type="http://schemas.openxmlformats.org/officeDocument/2006/relationships/hyperlink" Target="https://documents1.worldbank.org/curated/pt/403611493134249446/pdf/WPS8040.pdf" TargetMode="External"/><Relationship Id="rId51" Type="http://schemas.openxmlformats.org/officeDocument/2006/relationships/hyperlink" Target="https://www.canada.ca/en/financial-consumer-agency/services/industry/bulletins/refusal-open-account.html" TargetMode="External"/><Relationship Id="rId72" Type="http://schemas.openxmlformats.org/officeDocument/2006/relationships/hyperlink" Target="https://digitalfinance.worldbank.org/action-1" TargetMode="External"/><Relationship Id="rId80" Type="http://schemas.openxmlformats.org/officeDocument/2006/relationships/hyperlink" Target="https://assets.publishing.service.gov.uk/media/5a819fbeed915d74e33ff34a/Basic_bank_account_2016_dec_final.pdf" TargetMode="External"/><Relationship Id="rId85" Type="http://schemas.openxmlformats.org/officeDocument/2006/relationships/hyperlink" Target="https://www.rbnz.govt.nz/hub/publications/financial-inclusion-report/2025/first-steps-to-financial-inclusion" TargetMode="External"/><Relationship Id="rId93" Type="http://schemas.openxmlformats.org/officeDocument/2006/relationships/hyperlink" Target="https://www.rbnz.govt.nz/about-our-site/privacy-policy" TargetMode="External"/><Relationship Id="rId3" Type="http://schemas.openxmlformats.org/officeDocument/2006/relationships/hyperlink" Target="https://irp.cdn-website.com/96a27c73/files/uploaded/Community%20Networks%20Aotearoa%20_%20Better%20Banking%202023%20Report.pdf" TargetMode="External"/><Relationship Id="rId12" Type="http://schemas.openxmlformats.org/officeDocument/2006/relationships/hyperlink" Target="https://www.cofr.govt.nz/about-us/objectives-and-responsibilities.html" TargetMode="External"/><Relationship Id="rId17" Type="http://schemas.openxmlformats.org/officeDocument/2006/relationships/hyperlink" Target="https://www.communitynetworksaotearoa.org.nz/about" TargetMode="External"/><Relationship Id="rId25" Type="http://schemas.openxmlformats.org/officeDocument/2006/relationships/hyperlink" Target="https://www.worldbank.org/en/publication/globalfindex" TargetMode="External"/><Relationship Id="rId33" Type="http://schemas.openxmlformats.org/officeDocument/2006/relationships/hyperlink" Target="https://bankingjournal.aba.com/2020/08/digital-onboarding-and-origination-the-cure-for-financial-institutions-customeracquisition-pains" TargetMode="External"/><Relationship Id="rId38" Type="http://schemas.openxmlformats.org/officeDocument/2006/relationships/hyperlink" Target="https://www.imf.org/en/Publications/Departmental-Papers-Policy-Papers/Issues/2018/09/18/Financial-Inclusion-in-Asia-Pacific-46115" TargetMode="External"/><Relationship Id="rId46" Type="http://schemas.openxmlformats.org/officeDocument/2006/relationships/hyperlink" Target="https://www.worldbank.org/en/news/infographic/2016/10/04/gateway-to-financial-inclusion" TargetMode="External"/><Relationship Id="rId59" Type="http://schemas.openxmlformats.org/officeDocument/2006/relationships/hyperlink" Target="https://www.afi-global.org/wp-content/uploads/publications/the_use_of_financial_inclusion_data_country_case_study_south_africa.pdf" TargetMode="External"/><Relationship Id="rId67" Type="http://schemas.openxmlformats.org/officeDocument/2006/relationships/hyperlink" Target="https://www.afi-global.org/sites/default/files/publications/2019-03/KYC-Innovations-Financial-Inclusion-Integrity-Selected-AFI-Member-Countries.pdf" TargetMode="External"/><Relationship Id="rId20" Type="http://schemas.openxmlformats.org/officeDocument/2006/relationships/hyperlink" Target="https://comcom.govt.nz/__data/assets/pdf_file/0019/362035/Final-report-Personal-banking-services-market-study-20-August-2024-Amended-27-August-2024.pdf" TargetMode="External"/><Relationship Id="rId41" Type="http://schemas.openxmlformats.org/officeDocument/2006/relationships/hyperlink" Target="https://www.fatf-gafi.org/en/publications/Fatfrecommendations/R1-INR1-INR10-INR15-Public-Consultation-Oct-24.html" TargetMode="External"/><Relationship Id="rId54" Type="http://schemas.openxmlformats.org/officeDocument/2006/relationships/hyperlink" Target="https://op.europa.eu/en/publication-detail/-/publication/0854f727-6117-11eb-8146-01aa75ed71a1/language-en" TargetMode="External"/><Relationship Id="rId62" Type="http://schemas.openxmlformats.org/officeDocument/2006/relationships/hyperlink" Target="https://www.gov.uk/government/publications/basic-bank-accounts-january-to-june-2016" TargetMode="External"/><Relationship Id="rId70" Type="http://schemas.openxmlformats.org/officeDocument/2006/relationships/hyperlink" Target="https://www.fca.org.uk/publication/research/research-note-international-perspectives-on-de-risking.pdf" TargetMode="External"/><Relationship Id="rId75" Type="http://schemas.openxmlformats.org/officeDocument/2006/relationships/hyperlink" Target="https://www.cbe.org.eg/en/news-publications/news/2024/02/22/08/20/financial-inclusion-rates-rose-to-70,-d-,7-percent-by-the-end-of-2023" TargetMode="External"/><Relationship Id="rId83" Type="http://schemas.openxmlformats.org/officeDocument/2006/relationships/hyperlink" Target="https://www.fatf-gafi.org/content/dam/fatf-gafi/images/guidance/Updated-2017-FATF-2013-Guidance.pdf.coredownload.pdf" TargetMode="External"/><Relationship Id="rId88" Type="http://schemas.openxmlformats.org/officeDocument/2006/relationships/hyperlink" Target="https://comcom.govt.nz/__data/assets/pdf_file/0036/89856/Competitor-Collaboration-guidelines.pdf" TargetMode="External"/><Relationship Id="rId91" Type="http://schemas.openxmlformats.org/officeDocument/2006/relationships/hyperlink" Target="https://comcom.govt.nz/business/avoiding-anti-competitive-behaviour/collaboration-and-sustainability-guidelines" TargetMode="External"/><Relationship Id="rId1" Type="http://schemas.openxmlformats.org/officeDocument/2006/relationships/hyperlink" Target="https://www.westpac.co.nz/assets/Personal/life-money/documents/Westpac-NZ-Access-to-Banking-in-Aotearoa-Report.pdf" TargetMode="External"/><Relationship Id="rId6" Type="http://schemas.openxmlformats.org/officeDocument/2006/relationships/hyperlink" Target="https://www.fma.govt.nz/assets/Research/Consumer-Confidence-Survey-Overview-Report-2024.pdf" TargetMode="External"/><Relationship Id="rId15" Type="http://schemas.openxmlformats.org/officeDocument/2006/relationships/hyperlink" Target="https://people.wgtn.ac.nz/victoria.stace" TargetMode="External"/><Relationship Id="rId23" Type="http://schemas.openxmlformats.org/officeDocument/2006/relationships/hyperlink" Target="https://assets.nationbuilder.com/nationalparty/pages/18407/attachments/original/1695337176/Rebuilding_the_economy.pdf?1695337176" TargetMode="External"/><Relationship Id="rId28" Type="http://schemas.openxmlformats.org/officeDocument/2006/relationships/hyperlink" Target="https://www.rbnz.govt.nz/hub/publications/financial-inclusion-report/2025/first-steps-to-financial-inclusion" TargetMode="External"/><Relationship Id="rId36" Type="http://schemas.openxmlformats.org/officeDocument/2006/relationships/hyperlink" Target="https://www.tandfonline.com/doi/full/10.1080/07360932.2020.1715238" TargetMode="External"/><Relationship Id="rId49" Type="http://schemas.openxmlformats.org/officeDocument/2006/relationships/hyperlink" Target="https://documents1.worldbank.org/curated/en/099011624132054588/pdf/P1787031cca90801019d011a41f21efe348.pdf" TargetMode="External"/><Relationship Id="rId57" Type="http://schemas.openxmlformats.org/officeDocument/2006/relationships/hyperlink" Target="https://www.worldbank.org/en/publication/globalfindex" TargetMode="External"/><Relationship Id="rId10" Type="http://schemas.openxmlformats.org/officeDocument/2006/relationships/hyperlink" Target="https://www.cofr.govt.nz/priority-themes/inclusion.html" TargetMode="External"/><Relationship Id="rId31" Type="http://schemas.openxmlformats.org/officeDocument/2006/relationships/hyperlink" Target="https://www.rbnz.govt.nz/hub/publications/financial-inclusion-report/2025/first-steps-to-financial-inclusion" TargetMode="External"/><Relationship Id="rId44" Type="http://schemas.openxmlformats.org/officeDocument/2006/relationships/hyperlink" Target="https://documents1.worldbank.org/curated/en/099011624132054588/pdf/P1787031cca90801019d011a41f21efe348.pdf" TargetMode="External"/><Relationship Id="rId52" Type="http://schemas.openxmlformats.org/officeDocument/2006/relationships/hyperlink" Target="https://www.service-public.fr/particuliers/actualites/A15560?lang=en" TargetMode="External"/><Relationship Id="rId60" Type="http://schemas.openxmlformats.org/officeDocument/2006/relationships/hyperlink" Target="https://www.ausbanking.org.au/banking-code/" TargetMode="External"/><Relationship Id="rId65" Type="http://schemas.openxmlformats.org/officeDocument/2006/relationships/hyperlink" Target="http://www.asic.gov.au" TargetMode="External"/><Relationship Id="rId73" Type="http://schemas.openxmlformats.org/officeDocument/2006/relationships/hyperlink" Target="https://www.worldbank.org/en/publication/globalfindex" TargetMode="External"/><Relationship Id="rId78" Type="http://schemas.openxmlformats.org/officeDocument/2006/relationships/hyperlink" Target="https://www.cgap.org/blog/mexicos-tiered-kyc-update-on-market-response" TargetMode="External"/><Relationship Id="rId81" Type="http://schemas.openxmlformats.org/officeDocument/2006/relationships/hyperlink" Target="https://www.fca.org.uk/publication/corporate/uk-payment-accounts-access-and-closures.pdf" TargetMode="External"/><Relationship Id="rId86" Type="http://schemas.openxmlformats.org/officeDocument/2006/relationships/hyperlink" Target="https://documents1.worldbank.org/curated/en/099011624132054588/pdf/P1787031cca90801019d011a41f21efe348.pdf" TargetMode="External"/><Relationship Id="rId4" Type="http://schemas.openxmlformats.org/officeDocument/2006/relationships/hyperlink" Target="https://comcom.govt.nz/about-us/our-role/competition-studies/market-study-into-personal-banking-services" TargetMode="External"/><Relationship Id="rId9" Type="http://schemas.openxmlformats.org/officeDocument/2006/relationships/hyperlink" Target="https://documents1.worldbank.org/curated/en/099011624132054588/pdf/P1787031cca90801019d011a41f21efe348.pdf" TargetMode="External"/><Relationship Id="rId13" Type="http://schemas.openxmlformats.org/officeDocument/2006/relationships/hyperlink" Target="https://www.westpac.co.nz/" TargetMode="External"/><Relationship Id="rId18" Type="http://schemas.openxmlformats.org/officeDocument/2006/relationships/hyperlink" Target="https://irp.cdn-website.com/96a27c73/files/uploaded/Community%20Networks%20Aotearoa%20_%20Better%20Banking%202023%20Report.pdf" TargetMode="External"/><Relationship Id="rId39" Type="http://schemas.openxmlformats.org/officeDocument/2006/relationships/hyperlink" Target="https://irp.cdn-website.com/96a27c73/files/uploaded/Community%20Networks%20Aotearoa%20_%20Better%20Banking%202023%20Report.pdf" TargetMode="External"/><Relationship Id="rId34" Type="http://schemas.openxmlformats.org/officeDocument/2006/relationships/hyperlink" Target="https://www.yalejreg.com/wp-content/uploads/Adam-J.-Levitin-The-Financial-Inclusion-Trilemma-41-Yale-J.-on-Regul.-109-2024.pdf" TargetMode="External"/><Relationship Id="rId50" Type="http://schemas.openxmlformats.org/officeDocument/2006/relationships/hyperlink" Target="https://www.worldbank.org/en/publication/globalfindex" TargetMode="External"/><Relationship Id="rId55" Type="http://schemas.openxmlformats.org/officeDocument/2006/relationships/hyperlink" Target="https://www.engage.hoganlovells.com/knowledgeservices/news/eu-payment-accounts-directive-commission-review-mainly-positive-but-improved-data-collection-needed" TargetMode="External"/><Relationship Id="rId76" Type="http://schemas.openxmlformats.org/officeDocument/2006/relationships/hyperlink" Target="https://www.aiprise.com/blog/tiered-kyc-for-customer-onboarding" TargetMode="External"/><Relationship Id="rId7" Type="http://schemas.openxmlformats.org/officeDocument/2006/relationships/hyperlink" Target="https://www.rbnz.govt.nz/hub/publications/financial-inclusion-report/2025/first-steps-to-financial-inclusion" TargetMode="External"/><Relationship Id="rId71" Type="http://schemas.openxmlformats.org/officeDocument/2006/relationships/hyperlink" Target="https://www.fatf-gafi.org/en/publications/Financialinclusionandnpoissues/aml-cft-financial-inclusion-public-consultation-february-2025.html" TargetMode="External"/><Relationship Id="rId92" Type="http://schemas.openxmlformats.org/officeDocument/2006/relationships/hyperlink" Target="file:///C:\Users\FloDixon\AppData\Local\Microsoft\Windows\INetCache\Content.Outlook\G6PD0I93\Reserve%20Bank%20of%20New%20Zealand%20Privacy%20Policy" TargetMode="External"/><Relationship Id="rId2" Type="http://schemas.openxmlformats.org/officeDocument/2006/relationships/hyperlink" Target="https://www.fincap.org.nz/blog/paying-the-price-a-report-into-issues-prisoners-face-around-access-to-banking/" TargetMode="External"/><Relationship Id="rId29" Type="http://schemas.openxmlformats.org/officeDocument/2006/relationships/hyperlink" Target="https://documents1.worldbank.org/curated/zh/806481470154477031/pdf/Payment-Aspects-of-Financial-Inclusion.pdf" TargetMode="External"/><Relationship Id="rId24" Type="http://schemas.openxmlformats.org/officeDocument/2006/relationships/hyperlink" Target="https://www.rbnz.govt.nz/regulation-and-supervision/cross-sector-oversight/thematic-reviews/thematic-review-on-financial-inclusion" TargetMode="External"/><Relationship Id="rId40" Type="http://schemas.openxmlformats.org/officeDocument/2006/relationships/hyperlink" Target="https://www.cgap.org/blog/mexicos-tiered-kyc-update-on-market-response" TargetMode="External"/><Relationship Id="rId45" Type="http://schemas.openxmlformats.org/officeDocument/2006/relationships/hyperlink" Target="https://documents1.worldbank.org/curated/en/099011624132054588/pdf/P1787031cca90801019d011a41f21efe348.pdf" TargetMode="External"/><Relationship Id="rId66" Type="http://schemas.openxmlformats.org/officeDocument/2006/relationships/hyperlink" Target="https://www.nortonrosefulbright.com/en/knowledge/publications/66428537/asic-approves-abas-revised-banking-code-what-you-need-to-know" TargetMode="External"/><Relationship Id="rId87" Type="http://schemas.openxmlformats.org/officeDocument/2006/relationships/hyperlink" Target="https://comcom.govt.nz/__data/assets/pdf_file/0036/89856/Competitor-Collaboration-guidelines.pdf" TargetMode="External"/><Relationship Id="rId61" Type="http://schemas.openxmlformats.org/officeDocument/2006/relationships/hyperlink" Target="https://www.afi-global.org/wp-content/uploads/publications/the_use_of_financial_inclusion_data_country_case_study_south_africa.pdf" TargetMode="External"/><Relationship Id="rId82" Type="http://schemas.openxmlformats.org/officeDocument/2006/relationships/hyperlink" Target="https://www.fatf-gafi.org/content/dam/fatf-gafi/images/guidance/Updated-2017-FATF-2013-Guidance.pdf.coredownload.pdf" TargetMode="External"/><Relationship Id="rId19" Type="http://schemas.openxmlformats.org/officeDocument/2006/relationships/hyperlink" Target="https://www.rbnz.govt.nz/hub/publications/financial-inclusion-report/2025/first-steps-to-financial-inclusion" TargetMode="External"/><Relationship Id="rId14" Type="http://schemas.openxmlformats.org/officeDocument/2006/relationships/hyperlink" Target="https://www.westpac.co.nz/assets/Personal/life-money/documents/Westpac-NZ-Access-to-Banking-in-Aotearoa-Report.pdf" TargetMode="External"/><Relationship Id="rId30" Type="http://schemas.openxmlformats.org/officeDocument/2006/relationships/hyperlink" Target="https://www.rbnz.govt.nz/regulation-and-supervision/cross-sector-oversight/thematic-reviews/thematic-review-on-financial-inclusion" TargetMode="External"/><Relationship Id="rId35" Type="http://schemas.openxmlformats.org/officeDocument/2006/relationships/hyperlink" Target="https://www.yalejreg.com/wp-content/uploads/Adam-J.-Levitin-The-Financial-Inclusion-Trilemma-41-Yale-J.-on-Regul.-109-2024.pdf" TargetMode="External"/><Relationship Id="rId56" Type="http://schemas.openxmlformats.org/officeDocument/2006/relationships/hyperlink" Target="https://op.europa.eu/en/publication-detail/-/publication/0854f727-6117-11eb-8146-01aa75ed71a1/language-en" TargetMode="External"/><Relationship Id="rId77" Type="http://schemas.openxmlformats.org/officeDocument/2006/relationships/hyperlink" Target="https://www.cgap.org/blog/bold-move-toward-simplifying-amlcft-lessons-mexi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rbnz\dfs\homedrives\baylissto\My%20Documents\Financial%20inclusion\Size%20of%20unbanked%20popu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355025356990696"/>
          <c:y val="0.13659557379030618"/>
          <c:w val="0.84774859765926414"/>
          <c:h val="0.69630924537875882"/>
        </c:manualLayout>
      </c:layout>
      <c:lineChart>
        <c:grouping val="standard"/>
        <c:varyColors val="0"/>
        <c:ser>
          <c:idx val="0"/>
          <c:order val="0"/>
          <c:tx>
            <c:strRef>
              <c:f>Unbanked!$D$11</c:f>
              <c:strCache>
                <c:ptCount val="1"/>
                <c:pt idx="0">
                  <c:v>size of unbanked population</c:v>
                </c:pt>
              </c:strCache>
            </c:strRef>
          </c:tx>
          <c:spPr>
            <a:ln w="28575" cap="rnd">
              <a:solidFill>
                <a:schemeClr val="accent3"/>
              </a:solidFill>
              <a:round/>
            </a:ln>
            <a:effectLst/>
          </c:spPr>
          <c:marker>
            <c:symbol val="none"/>
          </c:marker>
          <c:cat>
            <c:numRef>
              <c:f>Unbanked!$C$12:$C$15</c:f>
              <c:numCache>
                <c:formatCode>General</c:formatCode>
                <c:ptCount val="4"/>
                <c:pt idx="0">
                  <c:v>2011</c:v>
                </c:pt>
                <c:pt idx="1">
                  <c:v>2014</c:v>
                </c:pt>
                <c:pt idx="2">
                  <c:v>2017</c:v>
                </c:pt>
                <c:pt idx="3">
                  <c:v>2021</c:v>
                </c:pt>
              </c:numCache>
            </c:numRef>
          </c:cat>
          <c:val>
            <c:numRef>
              <c:f>Unbanked!$D$12:$D$15</c:f>
              <c:numCache>
                <c:formatCode>General</c:formatCode>
                <c:ptCount val="4"/>
                <c:pt idx="0">
                  <c:v>19448.8</c:v>
                </c:pt>
                <c:pt idx="1">
                  <c:v>16929.400000000001</c:v>
                </c:pt>
                <c:pt idx="2">
                  <c:v>31684.799999999999</c:v>
                </c:pt>
                <c:pt idx="3">
                  <c:v>51937.5</c:v>
                </c:pt>
              </c:numCache>
            </c:numRef>
          </c:val>
          <c:smooth val="0"/>
          <c:extLst>
            <c:ext xmlns:c16="http://schemas.microsoft.com/office/drawing/2014/chart" uri="{C3380CC4-5D6E-409C-BE32-E72D297353CC}">
              <c16:uniqueId val="{00000000-0EC8-4B85-9FB0-E0FFFB9670D2}"/>
            </c:ext>
          </c:extLst>
        </c:ser>
        <c:dLbls>
          <c:showLegendKey val="0"/>
          <c:showVal val="0"/>
          <c:showCatName val="0"/>
          <c:showSerName val="0"/>
          <c:showPercent val="0"/>
          <c:showBubbleSize val="0"/>
        </c:dLbls>
        <c:smooth val="0"/>
        <c:axId val="858158303"/>
        <c:axId val="858158719"/>
      </c:lineChart>
      <c:catAx>
        <c:axId val="85815830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NZ">
                    <a:latin typeface="+mj-lt"/>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158719"/>
        <c:crosses val="autoZero"/>
        <c:auto val="1"/>
        <c:lblAlgn val="ctr"/>
        <c:lblOffset val="100"/>
        <c:noMultiLvlLbl val="0"/>
      </c:catAx>
      <c:valAx>
        <c:axId val="858158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en-NZ">
                    <a:latin typeface="+mj-lt"/>
                  </a:rPr>
                  <a:t>Number of Unbanked adults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en-N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8158303"/>
        <c:crosses val="autoZero"/>
        <c:crossBetween val="between"/>
      </c:valAx>
      <c:spPr>
        <a:noFill/>
        <a:ln>
          <a:noFill/>
        </a:ln>
        <a:effectLst/>
      </c:spPr>
    </c:plotArea>
    <c:plotVisOnly val="1"/>
    <c:dispBlanksAs val="gap"/>
    <c:showDLblsOverMax val="0"/>
  </c:chart>
  <c:spPr>
    <a:solidFill>
      <a:schemeClr val="bg1"/>
    </a:solidFill>
    <a:ln w="2857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15399907977335E-2"/>
          <c:y val="0.13004926108374384"/>
          <c:w val="0.8908288117789025"/>
          <c:h val="0.68838074551025952"/>
        </c:manualLayout>
      </c:layout>
      <c:barChart>
        <c:barDir val="col"/>
        <c:grouping val="clustered"/>
        <c:varyColors val="0"/>
        <c:ser>
          <c:idx val="0"/>
          <c:order val="0"/>
          <c:tx>
            <c:strRef>
              <c:f>Sheet4!$B$3</c:f>
              <c:strCache>
                <c:ptCount val="1"/>
                <c:pt idx="0">
                  <c:v>2011</c:v>
                </c:pt>
              </c:strCache>
            </c:strRef>
          </c:tx>
          <c:spPr>
            <a:solidFill>
              <a:srgbClr val="6B2A7F"/>
            </a:solidFill>
            <a:ln>
              <a:noFill/>
            </a:ln>
            <a:effectLst/>
          </c:spPr>
          <c:invertIfNegative val="0"/>
          <c:cat>
            <c:strRef>
              <c:f>Sheet4!$C$2:$H$2</c:f>
              <c:strCache>
                <c:ptCount val="6"/>
                <c:pt idx="0">
                  <c:v>Canada</c:v>
                </c:pt>
                <c:pt idx="1">
                  <c:v>Denmark</c:v>
                </c:pt>
                <c:pt idx="2">
                  <c:v>France</c:v>
                </c:pt>
                <c:pt idx="3">
                  <c:v>Ireland</c:v>
                </c:pt>
                <c:pt idx="4">
                  <c:v>Sweden</c:v>
                </c:pt>
                <c:pt idx="5">
                  <c:v>UK</c:v>
                </c:pt>
              </c:strCache>
            </c:strRef>
          </c:cat>
          <c:val>
            <c:numRef>
              <c:f>Sheet4!$C$3:$H$3</c:f>
              <c:numCache>
                <c:formatCode>0.0</c:formatCode>
                <c:ptCount val="6"/>
                <c:pt idx="0">
                  <c:v>95.8</c:v>
                </c:pt>
                <c:pt idx="1">
                  <c:v>99.7</c:v>
                </c:pt>
                <c:pt idx="2">
                  <c:v>97</c:v>
                </c:pt>
                <c:pt idx="3">
                  <c:v>93.9</c:v>
                </c:pt>
                <c:pt idx="4" formatCode="0.000">
                  <c:v>99</c:v>
                </c:pt>
                <c:pt idx="5" formatCode="0.000">
                  <c:v>97.2</c:v>
                </c:pt>
              </c:numCache>
            </c:numRef>
          </c:val>
          <c:extLst>
            <c:ext xmlns:c16="http://schemas.microsoft.com/office/drawing/2014/chart" uri="{C3380CC4-5D6E-409C-BE32-E72D297353CC}">
              <c16:uniqueId val="{00000000-BCE9-4618-B399-4B2C168129D8}"/>
            </c:ext>
          </c:extLst>
        </c:ser>
        <c:ser>
          <c:idx val="1"/>
          <c:order val="1"/>
          <c:tx>
            <c:strRef>
              <c:f>Sheet4!$B$4</c:f>
              <c:strCache>
                <c:ptCount val="1"/>
                <c:pt idx="0">
                  <c:v>2014</c:v>
                </c:pt>
              </c:strCache>
            </c:strRef>
          </c:tx>
          <c:spPr>
            <a:solidFill>
              <a:srgbClr val="007EC4"/>
            </a:solidFill>
            <a:ln>
              <a:noFill/>
            </a:ln>
            <a:effectLst/>
          </c:spPr>
          <c:invertIfNegative val="0"/>
          <c:cat>
            <c:strRef>
              <c:f>Sheet4!$C$2:$H$2</c:f>
              <c:strCache>
                <c:ptCount val="6"/>
                <c:pt idx="0">
                  <c:v>Canada</c:v>
                </c:pt>
                <c:pt idx="1">
                  <c:v>Denmark</c:v>
                </c:pt>
                <c:pt idx="2">
                  <c:v>France</c:v>
                </c:pt>
                <c:pt idx="3">
                  <c:v>Ireland</c:v>
                </c:pt>
                <c:pt idx="4">
                  <c:v>Sweden</c:v>
                </c:pt>
                <c:pt idx="5">
                  <c:v>UK</c:v>
                </c:pt>
              </c:strCache>
            </c:strRef>
          </c:cat>
          <c:val>
            <c:numRef>
              <c:f>Sheet4!$C$4:$H$4</c:f>
              <c:numCache>
                <c:formatCode>0.0</c:formatCode>
                <c:ptCount val="6"/>
                <c:pt idx="0">
                  <c:v>99.1</c:v>
                </c:pt>
                <c:pt idx="1">
                  <c:v>100</c:v>
                </c:pt>
                <c:pt idx="2">
                  <c:v>96.6</c:v>
                </c:pt>
                <c:pt idx="3">
                  <c:v>96.6</c:v>
                </c:pt>
                <c:pt idx="4" formatCode="0.000">
                  <c:v>99.7</c:v>
                </c:pt>
                <c:pt idx="5" formatCode="0.000">
                  <c:v>98.9</c:v>
                </c:pt>
              </c:numCache>
            </c:numRef>
          </c:val>
          <c:extLst>
            <c:ext xmlns:c16="http://schemas.microsoft.com/office/drawing/2014/chart" uri="{C3380CC4-5D6E-409C-BE32-E72D297353CC}">
              <c16:uniqueId val="{00000001-BCE9-4618-B399-4B2C168129D8}"/>
            </c:ext>
          </c:extLst>
        </c:ser>
        <c:ser>
          <c:idx val="2"/>
          <c:order val="2"/>
          <c:tx>
            <c:strRef>
              <c:f>Sheet4!$B$5</c:f>
              <c:strCache>
                <c:ptCount val="1"/>
                <c:pt idx="0">
                  <c:v>2017</c:v>
                </c:pt>
              </c:strCache>
            </c:strRef>
          </c:tx>
          <c:spPr>
            <a:solidFill>
              <a:srgbClr val="6B2A7F">
                <a:lumMod val="75000"/>
              </a:srgbClr>
            </a:solidFill>
            <a:ln>
              <a:noFill/>
            </a:ln>
            <a:effectLst/>
          </c:spPr>
          <c:invertIfNegative val="0"/>
          <c:cat>
            <c:strRef>
              <c:f>Sheet4!$C$2:$H$2</c:f>
              <c:strCache>
                <c:ptCount val="6"/>
                <c:pt idx="0">
                  <c:v>Canada</c:v>
                </c:pt>
                <c:pt idx="1">
                  <c:v>Denmark</c:v>
                </c:pt>
                <c:pt idx="2">
                  <c:v>France</c:v>
                </c:pt>
                <c:pt idx="3">
                  <c:v>Ireland</c:v>
                </c:pt>
                <c:pt idx="4">
                  <c:v>Sweden</c:v>
                </c:pt>
                <c:pt idx="5">
                  <c:v>UK</c:v>
                </c:pt>
              </c:strCache>
            </c:strRef>
          </c:cat>
          <c:val>
            <c:numRef>
              <c:f>Sheet4!$C$5:$H$5</c:f>
              <c:numCache>
                <c:formatCode>0.0</c:formatCode>
                <c:ptCount val="6"/>
                <c:pt idx="0">
                  <c:v>99.7</c:v>
                </c:pt>
                <c:pt idx="1">
                  <c:v>99.9</c:v>
                </c:pt>
                <c:pt idx="2">
                  <c:v>94</c:v>
                </c:pt>
                <c:pt idx="3">
                  <c:v>100</c:v>
                </c:pt>
                <c:pt idx="4" formatCode="0.000">
                  <c:v>99.7</c:v>
                </c:pt>
                <c:pt idx="5" formatCode="0.000">
                  <c:v>96.4</c:v>
                </c:pt>
              </c:numCache>
            </c:numRef>
          </c:val>
          <c:extLst>
            <c:ext xmlns:c16="http://schemas.microsoft.com/office/drawing/2014/chart" uri="{C3380CC4-5D6E-409C-BE32-E72D297353CC}">
              <c16:uniqueId val="{00000002-BCE9-4618-B399-4B2C168129D8}"/>
            </c:ext>
          </c:extLst>
        </c:ser>
        <c:ser>
          <c:idx val="3"/>
          <c:order val="3"/>
          <c:tx>
            <c:strRef>
              <c:f>Sheet4!$B$6</c:f>
              <c:strCache>
                <c:ptCount val="1"/>
                <c:pt idx="0">
                  <c:v>2021</c:v>
                </c:pt>
              </c:strCache>
            </c:strRef>
          </c:tx>
          <c:spPr>
            <a:solidFill>
              <a:srgbClr val="007EC4">
                <a:lumMod val="50000"/>
              </a:srgbClr>
            </a:solidFill>
            <a:ln>
              <a:noFill/>
            </a:ln>
            <a:effectLst/>
          </c:spPr>
          <c:invertIfNegative val="0"/>
          <c:cat>
            <c:strRef>
              <c:f>Sheet4!$C$2:$H$2</c:f>
              <c:strCache>
                <c:ptCount val="6"/>
                <c:pt idx="0">
                  <c:v>Canada</c:v>
                </c:pt>
                <c:pt idx="1">
                  <c:v>Denmark</c:v>
                </c:pt>
                <c:pt idx="2">
                  <c:v>France</c:v>
                </c:pt>
                <c:pt idx="3">
                  <c:v>Ireland</c:v>
                </c:pt>
                <c:pt idx="4">
                  <c:v>Sweden</c:v>
                </c:pt>
                <c:pt idx="5">
                  <c:v>UK</c:v>
                </c:pt>
              </c:strCache>
            </c:strRef>
          </c:cat>
          <c:val>
            <c:numRef>
              <c:f>Sheet4!$C$6:$H$6</c:f>
              <c:numCache>
                <c:formatCode>0.0</c:formatCode>
                <c:ptCount val="6"/>
                <c:pt idx="0">
                  <c:v>99.6</c:v>
                </c:pt>
                <c:pt idx="1">
                  <c:v>100</c:v>
                </c:pt>
                <c:pt idx="2">
                  <c:v>99.2</c:v>
                </c:pt>
                <c:pt idx="3">
                  <c:v>100</c:v>
                </c:pt>
                <c:pt idx="4" formatCode="0.000">
                  <c:v>99.7</c:v>
                </c:pt>
                <c:pt idx="5" formatCode="0.000">
                  <c:v>99.8</c:v>
                </c:pt>
              </c:numCache>
            </c:numRef>
          </c:val>
          <c:extLst>
            <c:ext xmlns:c16="http://schemas.microsoft.com/office/drawing/2014/chart" uri="{C3380CC4-5D6E-409C-BE32-E72D297353CC}">
              <c16:uniqueId val="{00000003-BCE9-4618-B399-4B2C168129D8}"/>
            </c:ext>
          </c:extLst>
        </c:ser>
        <c:dLbls>
          <c:showLegendKey val="0"/>
          <c:showVal val="0"/>
          <c:showCatName val="0"/>
          <c:showSerName val="0"/>
          <c:showPercent val="0"/>
          <c:showBubbleSize val="0"/>
        </c:dLbls>
        <c:gapWidth val="219"/>
        <c:overlap val="-27"/>
        <c:axId val="1895787968"/>
        <c:axId val="1895788448"/>
      </c:barChart>
      <c:catAx>
        <c:axId val="189578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788448"/>
        <c:crosses val="autoZero"/>
        <c:auto val="1"/>
        <c:lblAlgn val="ctr"/>
        <c:lblOffset val="100"/>
        <c:noMultiLvlLbl val="0"/>
      </c:catAx>
      <c:valAx>
        <c:axId val="1895788448"/>
        <c:scaling>
          <c:orientation val="minMax"/>
          <c:max val="100"/>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a:t>
                </a:r>
              </a:p>
            </c:rich>
          </c:tx>
          <c:layout>
            <c:manualLayout>
              <c:xMode val="edge"/>
              <c:yMode val="edge"/>
              <c:x val="3.0871018873252089E-2"/>
              <c:y val="2.557213302588921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78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rgbClr val="FFFFFF"/>
      </a:lt1>
      <a:dk2>
        <a:srgbClr val="000000"/>
      </a:dk2>
      <a:lt2>
        <a:srgbClr val="FAFAF6"/>
      </a:lt2>
      <a:accent1>
        <a:srgbClr val="6B2A7F"/>
      </a:accent1>
      <a:accent2>
        <a:srgbClr val="007EC4"/>
      </a:accent2>
      <a:accent3>
        <a:srgbClr val="6B2A7F"/>
      </a:accent3>
      <a:accent4>
        <a:srgbClr val="007EC4"/>
      </a:accent4>
      <a:accent5>
        <a:srgbClr val="6B2A7F"/>
      </a:accent5>
      <a:accent6>
        <a:srgbClr val="007EC4"/>
      </a:accent6>
      <a:hlink>
        <a:srgbClr val="000000"/>
      </a:hlink>
      <a:folHlink>
        <a:srgbClr val="000000"/>
      </a:folHlink>
    </a:clrScheme>
    <a:fontScheme name="RBNZ">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F69E65D1F88F4BB937114D26D8E76A" ma:contentTypeVersion="14" ma:contentTypeDescription="Create a new document." ma:contentTypeScope="" ma:versionID="daed0a7bafd831b1fb53c799f6a696b3">
  <xsd:schema xmlns:xsd="http://www.w3.org/2001/XMLSchema" xmlns:xs="http://www.w3.org/2001/XMLSchema" xmlns:p="http://schemas.microsoft.com/office/2006/metadata/properties" xmlns:ns2="aea1fc6b-fc48-499e-a9c6-84c5e0e4b02a" xmlns:ns3="063d9bca-29d0-4b3a-a548-52c3b4abb6cf" targetNamespace="http://schemas.microsoft.com/office/2006/metadata/properties" ma:root="true" ma:fieldsID="1624e259c6b7a987a17cbe4e5e55cf94" ns2:_="" ns3:_="">
    <xsd:import namespace="aea1fc6b-fc48-499e-a9c6-84c5e0e4b02a"/>
    <xsd:import namespace="063d9bca-29d0-4b3a-a548-52c3b4abb6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1fc6b-fc48-499e-a9c6-84c5e0e4b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96ef04-aa34-4189-a720-17bd0c6c30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3d9bca-29d0-4b3a-a548-52c3b4abb6c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67430d4-3a1e-4d6f-b2d3-297817e0d005}" ma:internalName="TaxCatchAll" ma:showField="CatchAllData" ma:web="063d9bca-29d0-4b3a-a548-52c3b4abb6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a1fc6b-fc48-499e-a9c6-84c5e0e4b02a">
      <Terms xmlns="http://schemas.microsoft.com/office/infopath/2007/PartnerControls"/>
    </lcf76f155ced4ddcb4097134ff3c332f>
    <TaxCatchAll xmlns="063d9bca-29d0-4b3a-a548-52c3b4abb6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783B-6916-41DC-A21B-B787869F3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1fc6b-fc48-499e-a9c6-84c5e0e4b02a"/>
    <ds:schemaRef ds:uri="063d9bca-29d0-4b3a-a548-52c3b4abb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88F28-FAAE-402D-B2E8-2288AC6B62D5}">
  <ds:schemaRefs>
    <ds:schemaRef ds:uri="http://schemas.microsoft.com/office/2006/metadata/properties"/>
    <ds:schemaRef ds:uri="http://schemas.microsoft.com/office/infopath/2007/PartnerControls"/>
    <ds:schemaRef ds:uri="aea1fc6b-fc48-499e-a9c6-84c5e0e4b02a"/>
    <ds:schemaRef ds:uri="063d9bca-29d0-4b3a-a548-52c3b4abb6cf"/>
  </ds:schemaRefs>
</ds:datastoreItem>
</file>

<file path=customXml/itemProps3.xml><?xml version="1.0" encoding="utf-8"?>
<ds:datastoreItem xmlns:ds="http://schemas.openxmlformats.org/officeDocument/2006/customXml" ds:itemID="{C058B436-E546-4C8C-BF35-25CEA61A5FC8}">
  <ds:schemaRefs>
    <ds:schemaRef ds:uri="http://schemas.microsoft.com/sharepoint/v3/contenttype/forms"/>
  </ds:schemaRefs>
</ds:datastoreItem>
</file>

<file path=customXml/itemProps4.xml><?xml version="1.0" encoding="utf-8"?>
<ds:datastoreItem xmlns:ds="http://schemas.openxmlformats.org/officeDocument/2006/customXml" ds:itemID="{06F1EF00-F3ED-4387-AB3C-13AD2C399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12393</Words>
  <Characters>70644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RBNZ</Company>
  <LinksUpToDate>false</LinksUpToDate>
  <CharactersWithSpaces>82872</CharactersWithSpaces>
  <SharedDoc>false</SharedDoc>
  <HLinks>
    <vt:vector size="762" baseType="variant">
      <vt:variant>
        <vt:i4>7602275</vt:i4>
      </vt:variant>
      <vt:variant>
        <vt:i4>264</vt:i4>
      </vt:variant>
      <vt:variant>
        <vt:i4>0</vt:i4>
      </vt:variant>
      <vt:variant>
        <vt:i4>5</vt:i4>
      </vt:variant>
      <vt:variant>
        <vt:lpwstr>https://consultations.rbnz.govt.nz/</vt:lpwstr>
      </vt:variant>
      <vt:variant>
        <vt:lpwstr/>
      </vt:variant>
      <vt:variant>
        <vt:i4>1441849</vt:i4>
      </vt:variant>
      <vt:variant>
        <vt:i4>200</vt:i4>
      </vt:variant>
      <vt:variant>
        <vt:i4>0</vt:i4>
      </vt:variant>
      <vt:variant>
        <vt:i4>5</vt:i4>
      </vt:variant>
      <vt:variant>
        <vt:lpwstr/>
      </vt:variant>
      <vt:variant>
        <vt:lpwstr>_Toc194656987</vt:lpwstr>
      </vt:variant>
      <vt:variant>
        <vt:i4>1441849</vt:i4>
      </vt:variant>
      <vt:variant>
        <vt:i4>194</vt:i4>
      </vt:variant>
      <vt:variant>
        <vt:i4>0</vt:i4>
      </vt:variant>
      <vt:variant>
        <vt:i4>5</vt:i4>
      </vt:variant>
      <vt:variant>
        <vt:lpwstr/>
      </vt:variant>
      <vt:variant>
        <vt:lpwstr>_Toc194656986</vt:lpwstr>
      </vt:variant>
      <vt:variant>
        <vt:i4>1441849</vt:i4>
      </vt:variant>
      <vt:variant>
        <vt:i4>188</vt:i4>
      </vt:variant>
      <vt:variant>
        <vt:i4>0</vt:i4>
      </vt:variant>
      <vt:variant>
        <vt:i4>5</vt:i4>
      </vt:variant>
      <vt:variant>
        <vt:lpwstr/>
      </vt:variant>
      <vt:variant>
        <vt:lpwstr>_Toc194656985</vt:lpwstr>
      </vt:variant>
      <vt:variant>
        <vt:i4>1441849</vt:i4>
      </vt:variant>
      <vt:variant>
        <vt:i4>182</vt:i4>
      </vt:variant>
      <vt:variant>
        <vt:i4>0</vt:i4>
      </vt:variant>
      <vt:variant>
        <vt:i4>5</vt:i4>
      </vt:variant>
      <vt:variant>
        <vt:lpwstr/>
      </vt:variant>
      <vt:variant>
        <vt:lpwstr>_Toc194656984</vt:lpwstr>
      </vt:variant>
      <vt:variant>
        <vt:i4>1441849</vt:i4>
      </vt:variant>
      <vt:variant>
        <vt:i4>176</vt:i4>
      </vt:variant>
      <vt:variant>
        <vt:i4>0</vt:i4>
      </vt:variant>
      <vt:variant>
        <vt:i4>5</vt:i4>
      </vt:variant>
      <vt:variant>
        <vt:lpwstr/>
      </vt:variant>
      <vt:variant>
        <vt:lpwstr>_Toc194656983</vt:lpwstr>
      </vt:variant>
      <vt:variant>
        <vt:i4>1507376</vt:i4>
      </vt:variant>
      <vt:variant>
        <vt:i4>167</vt:i4>
      </vt:variant>
      <vt:variant>
        <vt:i4>0</vt:i4>
      </vt:variant>
      <vt:variant>
        <vt:i4>5</vt:i4>
      </vt:variant>
      <vt:variant>
        <vt:lpwstr/>
      </vt:variant>
      <vt:variant>
        <vt:lpwstr>_Toc194657085</vt:lpwstr>
      </vt:variant>
      <vt:variant>
        <vt:i4>1507376</vt:i4>
      </vt:variant>
      <vt:variant>
        <vt:i4>161</vt:i4>
      </vt:variant>
      <vt:variant>
        <vt:i4>0</vt:i4>
      </vt:variant>
      <vt:variant>
        <vt:i4>5</vt:i4>
      </vt:variant>
      <vt:variant>
        <vt:lpwstr/>
      </vt:variant>
      <vt:variant>
        <vt:lpwstr>_Toc194657084</vt:lpwstr>
      </vt:variant>
      <vt:variant>
        <vt:i4>1507376</vt:i4>
      </vt:variant>
      <vt:variant>
        <vt:i4>155</vt:i4>
      </vt:variant>
      <vt:variant>
        <vt:i4>0</vt:i4>
      </vt:variant>
      <vt:variant>
        <vt:i4>5</vt:i4>
      </vt:variant>
      <vt:variant>
        <vt:lpwstr/>
      </vt:variant>
      <vt:variant>
        <vt:lpwstr>_Toc194657083</vt:lpwstr>
      </vt:variant>
      <vt:variant>
        <vt:i4>1966129</vt:i4>
      </vt:variant>
      <vt:variant>
        <vt:i4>146</vt:i4>
      </vt:variant>
      <vt:variant>
        <vt:i4>0</vt:i4>
      </vt:variant>
      <vt:variant>
        <vt:i4>5</vt:i4>
      </vt:variant>
      <vt:variant>
        <vt:lpwstr/>
      </vt:variant>
      <vt:variant>
        <vt:lpwstr>_Toc194657117</vt:lpwstr>
      </vt:variant>
      <vt:variant>
        <vt:i4>1966129</vt:i4>
      </vt:variant>
      <vt:variant>
        <vt:i4>140</vt:i4>
      </vt:variant>
      <vt:variant>
        <vt:i4>0</vt:i4>
      </vt:variant>
      <vt:variant>
        <vt:i4>5</vt:i4>
      </vt:variant>
      <vt:variant>
        <vt:lpwstr/>
      </vt:variant>
      <vt:variant>
        <vt:lpwstr>_Toc194657116</vt:lpwstr>
      </vt:variant>
      <vt:variant>
        <vt:i4>1966129</vt:i4>
      </vt:variant>
      <vt:variant>
        <vt:i4>134</vt:i4>
      </vt:variant>
      <vt:variant>
        <vt:i4>0</vt:i4>
      </vt:variant>
      <vt:variant>
        <vt:i4>5</vt:i4>
      </vt:variant>
      <vt:variant>
        <vt:lpwstr/>
      </vt:variant>
      <vt:variant>
        <vt:lpwstr>_Toc194657115</vt:lpwstr>
      </vt:variant>
      <vt:variant>
        <vt:i4>1966129</vt:i4>
      </vt:variant>
      <vt:variant>
        <vt:i4>128</vt:i4>
      </vt:variant>
      <vt:variant>
        <vt:i4>0</vt:i4>
      </vt:variant>
      <vt:variant>
        <vt:i4>5</vt:i4>
      </vt:variant>
      <vt:variant>
        <vt:lpwstr/>
      </vt:variant>
      <vt:variant>
        <vt:lpwstr>_Toc194657114</vt:lpwstr>
      </vt:variant>
      <vt:variant>
        <vt:i4>1966129</vt:i4>
      </vt:variant>
      <vt:variant>
        <vt:i4>122</vt:i4>
      </vt:variant>
      <vt:variant>
        <vt:i4>0</vt:i4>
      </vt:variant>
      <vt:variant>
        <vt:i4>5</vt:i4>
      </vt:variant>
      <vt:variant>
        <vt:lpwstr/>
      </vt:variant>
      <vt:variant>
        <vt:lpwstr>_Toc194657113</vt:lpwstr>
      </vt:variant>
      <vt:variant>
        <vt:i4>1966129</vt:i4>
      </vt:variant>
      <vt:variant>
        <vt:i4>116</vt:i4>
      </vt:variant>
      <vt:variant>
        <vt:i4>0</vt:i4>
      </vt:variant>
      <vt:variant>
        <vt:i4>5</vt:i4>
      </vt:variant>
      <vt:variant>
        <vt:lpwstr/>
      </vt:variant>
      <vt:variant>
        <vt:lpwstr>_Toc194657112</vt:lpwstr>
      </vt:variant>
      <vt:variant>
        <vt:i4>1966129</vt:i4>
      </vt:variant>
      <vt:variant>
        <vt:i4>110</vt:i4>
      </vt:variant>
      <vt:variant>
        <vt:i4>0</vt:i4>
      </vt:variant>
      <vt:variant>
        <vt:i4>5</vt:i4>
      </vt:variant>
      <vt:variant>
        <vt:lpwstr/>
      </vt:variant>
      <vt:variant>
        <vt:lpwstr>_Toc194657111</vt:lpwstr>
      </vt:variant>
      <vt:variant>
        <vt:i4>1966129</vt:i4>
      </vt:variant>
      <vt:variant>
        <vt:i4>104</vt:i4>
      </vt:variant>
      <vt:variant>
        <vt:i4>0</vt:i4>
      </vt:variant>
      <vt:variant>
        <vt:i4>5</vt:i4>
      </vt:variant>
      <vt:variant>
        <vt:lpwstr/>
      </vt:variant>
      <vt:variant>
        <vt:lpwstr>_Toc194657110</vt:lpwstr>
      </vt:variant>
      <vt:variant>
        <vt:i4>2031665</vt:i4>
      </vt:variant>
      <vt:variant>
        <vt:i4>98</vt:i4>
      </vt:variant>
      <vt:variant>
        <vt:i4>0</vt:i4>
      </vt:variant>
      <vt:variant>
        <vt:i4>5</vt:i4>
      </vt:variant>
      <vt:variant>
        <vt:lpwstr/>
      </vt:variant>
      <vt:variant>
        <vt:lpwstr>_Toc194657109</vt:lpwstr>
      </vt:variant>
      <vt:variant>
        <vt:i4>2031665</vt:i4>
      </vt:variant>
      <vt:variant>
        <vt:i4>92</vt:i4>
      </vt:variant>
      <vt:variant>
        <vt:i4>0</vt:i4>
      </vt:variant>
      <vt:variant>
        <vt:i4>5</vt:i4>
      </vt:variant>
      <vt:variant>
        <vt:lpwstr/>
      </vt:variant>
      <vt:variant>
        <vt:lpwstr>_Toc194657108</vt:lpwstr>
      </vt:variant>
      <vt:variant>
        <vt:i4>2031665</vt:i4>
      </vt:variant>
      <vt:variant>
        <vt:i4>86</vt:i4>
      </vt:variant>
      <vt:variant>
        <vt:i4>0</vt:i4>
      </vt:variant>
      <vt:variant>
        <vt:i4>5</vt:i4>
      </vt:variant>
      <vt:variant>
        <vt:lpwstr/>
      </vt:variant>
      <vt:variant>
        <vt:lpwstr>_Toc194657107</vt:lpwstr>
      </vt:variant>
      <vt:variant>
        <vt:i4>2031665</vt:i4>
      </vt:variant>
      <vt:variant>
        <vt:i4>80</vt:i4>
      </vt:variant>
      <vt:variant>
        <vt:i4>0</vt:i4>
      </vt:variant>
      <vt:variant>
        <vt:i4>5</vt:i4>
      </vt:variant>
      <vt:variant>
        <vt:lpwstr/>
      </vt:variant>
      <vt:variant>
        <vt:lpwstr>_Toc194657106</vt:lpwstr>
      </vt:variant>
      <vt:variant>
        <vt:i4>2031665</vt:i4>
      </vt:variant>
      <vt:variant>
        <vt:i4>74</vt:i4>
      </vt:variant>
      <vt:variant>
        <vt:i4>0</vt:i4>
      </vt:variant>
      <vt:variant>
        <vt:i4>5</vt:i4>
      </vt:variant>
      <vt:variant>
        <vt:lpwstr/>
      </vt:variant>
      <vt:variant>
        <vt:lpwstr>_Toc194657105</vt:lpwstr>
      </vt:variant>
      <vt:variant>
        <vt:i4>2031665</vt:i4>
      </vt:variant>
      <vt:variant>
        <vt:i4>68</vt:i4>
      </vt:variant>
      <vt:variant>
        <vt:i4>0</vt:i4>
      </vt:variant>
      <vt:variant>
        <vt:i4>5</vt:i4>
      </vt:variant>
      <vt:variant>
        <vt:lpwstr/>
      </vt:variant>
      <vt:variant>
        <vt:lpwstr>_Toc194657104</vt:lpwstr>
      </vt:variant>
      <vt:variant>
        <vt:i4>2031665</vt:i4>
      </vt:variant>
      <vt:variant>
        <vt:i4>62</vt:i4>
      </vt:variant>
      <vt:variant>
        <vt:i4>0</vt:i4>
      </vt:variant>
      <vt:variant>
        <vt:i4>5</vt:i4>
      </vt:variant>
      <vt:variant>
        <vt:lpwstr/>
      </vt:variant>
      <vt:variant>
        <vt:lpwstr>_Toc194657103</vt:lpwstr>
      </vt:variant>
      <vt:variant>
        <vt:i4>2031665</vt:i4>
      </vt:variant>
      <vt:variant>
        <vt:i4>56</vt:i4>
      </vt:variant>
      <vt:variant>
        <vt:i4>0</vt:i4>
      </vt:variant>
      <vt:variant>
        <vt:i4>5</vt:i4>
      </vt:variant>
      <vt:variant>
        <vt:lpwstr/>
      </vt:variant>
      <vt:variant>
        <vt:lpwstr>_Toc194657102</vt:lpwstr>
      </vt:variant>
      <vt:variant>
        <vt:i4>2031665</vt:i4>
      </vt:variant>
      <vt:variant>
        <vt:i4>50</vt:i4>
      </vt:variant>
      <vt:variant>
        <vt:i4>0</vt:i4>
      </vt:variant>
      <vt:variant>
        <vt:i4>5</vt:i4>
      </vt:variant>
      <vt:variant>
        <vt:lpwstr/>
      </vt:variant>
      <vt:variant>
        <vt:lpwstr>_Toc194657101</vt:lpwstr>
      </vt:variant>
      <vt:variant>
        <vt:i4>2031665</vt:i4>
      </vt:variant>
      <vt:variant>
        <vt:i4>44</vt:i4>
      </vt:variant>
      <vt:variant>
        <vt:i4>0</vt:i4>
      </vt:variant>
      <vt:variant>
        <vt:i4>5</vt:i4>
      </vt:variant>
      <vt:variant>
        <vt:lpwstr/>
      </vt:variant>
      <vt:variant>
        <vt:lpwstr>_Toc194657100</vt:lpwstr>
      </vt:variant>
      <vt:variant>
        <vt:i4>1441840</vt:i4>
      </vt:variant>
      <vt:variant>
        <vt:i4>38</vt:i4>
      </vt:variant>
      <vt:variant>
        <vt:i4>0</vt:i4>
      </vt:variant>
      <vt:variant>
        <vt:i4>5</vt:i4>
      </vt:variant>
      <vt:variant>
        <vt:lpwstr/>
      </vt:variant>
      <vt:variant>
        <vt:lpwstr>_Toc194657099</vt:lpwstr>
      </vt:variant>
      <vt:variant>
        <vt:i4>1441840</vt:i4>
      </vt:variant>
      <vt:variant>
        <vt:i4>32</vt:i4>
      </vt:variant>
      <vt:variant>
        <vt:i4>0</vt:i4>
      </vt:variant>
      <vt:variant>
        <vt:i4>5</vt:i4>
      </vt:variant>
      <vt:variant>
        <vt:lpwstr/>
      </vt:variant>
      <vt:variant>
        <vt:lpwstr>_Toc194657098</vt:lpwstr>
      </vt:variant>
      <vt:variant>
        <vt:i4>1441840</vt:i4>
      </vt:variant>
      <vt:variant>
        <vt:i4>26</vt:i4>
      </vt:variant>
      <vt:variant>
        <vt:i4>0</vt:i4>
      </vt:variant>
      <vt:variant>
        <vt:i4>5</vt:i4>
      </vt:variant>
      <vt:variant>
        <vt:lpwstr/>
      </vt:variant>
      <vt:variant>
        <vt:lpwstr>_Toc194657097</vt:lpwstr>
      </vt:variant>
      <vt:variant>
        <vt:i4>1441840</vt:i4>
      </vt:variant>
      <vt:variant>
        <vt:i4>20</vt:i4>
      </vt:variant>
      <vt:variant>
        <vt:i4>0</vt:i4>
      </vt:variant>
      <vt:variant>
        <vt:i4>5</vt:i4>
      </vt:variant>
      <vt:variant>
        <vt:lpwstr/>
      </vt:variant>
      <vt:variant>
        <vt:lpwstr>_Toc194657096</vt:lpwstr>
      </vt:variant>
      <vt:variant>
        <vt:i4>1441840</vt:i4>
      </vt:variant>
      <vt:variant>
        <vt:i4>14</vt:i4>
      </vt:variant>
      <vt:variant>
        <vt:i4>0</vt:i4>
      </vt:variant>
      <vt:variant>
        <vt:i4>5</vt:i4>
      </vt:variant>
      <vt:variant>
        <vt:lpwstr/>
      </vt:variant>
      <vt:variant>
        <vt:lpwstr>_Toc194657095</vt:lpwstr>
      </vt:variant>
      <vt:variant>
        <vt:i4>1441840</vt:i4>
      </vt:variant>
      <vt:variant>
        <vt:i4>8</vt:i4>
      </vt:variant>
      <vt:variant>
        <vt:i4>0</vt:i4>
      </vt:variant>
      <vt:variant>
        <vt:i4>5</vt:i4>
      </vt:variant>
      <vt:variant>
        <vt:lpwstr/>
      </vt:variant>
      <vt:variant>
        <vt:lpwstr>_Toc194657094</vt:lpwstr>
      </vt:variant>
      <vt:variant>
        <vt:i4>1441840</vt:i4>
      </vt:variant>
      <vt:variant>
        <vt:i4>2</vt:i4>
      </vt:variant>
      <vt:variant>
        <vt:i4>0</vt:i4>
      </vt:variant>
      <vt:variant>
        <vt:i4>5</vt:i4>
      </vt:variant>
      <vt:variant>
        <vt:lpwstr/>
      </vt:variant>
      <vt:variant>
        <vt:lpwstr>_Toc194657093</vt:lpwstr>
      </vt:variant>
      <vt:variant>
        <vt:i4>7274552</vt:i4>
      </vt:variant>
      <vt:variant>
        <vt:i4>279</vt:i4>
      </vt:variant>
      <vt:variant>
        <vt:i4>0</vt:i4>
      </vt:variant>
      <vt:variant>
        <vt:i4>5</vt:i4>
      </vt:variant>
      <vt:variant>
        <vt:lpwstr>https://www.rbnz.govt.nz/about-our-site/privacy-policy</vt:lpwstr>
      </vt:variant>
      <vt:variant>
        <vt:lpwstr/>
      </vt:variant>
      <vt:variant>
        <vt:i4>196617</vt:i4>
      </vt:variant>
      <vt:variant>
        <vt:i4>276</vt:i4>
      </vt:variant>
      <vt:variant>
        <vt:i4>0</vt:i4>
      </vt:variant>
      <vt:variant>
        <vt:i4>5</vt:i4>
      </vt:variant>
      <vt:variant>
        <vt:lpwstr>C:\Users\FloDixon\AppData\Local\Microsoft\Windows\INetCache\Content.Outlook\G6PD0I93\Reserve Bank of New Zealand Privacy Policy</vt:lpwstr>
      </vt:variant>
      <vt:variant>
        <vt:lpwstr/>
      </vt:variant>
      <vt:variant>
        <vt:i4>3997751</vt:i4>
      </vt:variant>
      <vt:variant>
        <vt:i4>273</vt:i4>
      </vt:variant>
      <vt:variant>
        <vt:i4>0</vt:i4>
      </vt:variant>
      <vt:variant>
        <vt:i4>5</vt:i4>
      </vt:variant>
      <vt:variant>
        <vt:lpwstr>https://comcom.govt.nz/business/avoiding-anti-competitive-behaviour/collaboration-and-sustainability-guidelines</vt:lpwstr>
      </vt:variant>
      <vt:variant>
        <vt:lpwstr/>
      </vt:variant>
      <vt:variant>
        <vt:i4>3997751</vt:i4>
      </vt:variant>
      <vt:variant>
        <vt:i4>270</vt:i4>
      </vt:variant>
      <vt:variant>
        <vt:i4>0</vt:i4>
      </vt:variant>
      <vt:variant>
        <vt:i4>5</vt:i4>
      </vt:variant>
      <vt:variant>
        <vt:lpwstr>https://comcom.govt.nz/business/avoiding-anti-competitive-behaviour/collaboration-and-sustainability-guidelines</vt:lpwstr>
      </vt:variant>
      <vt:variant>
        <vt:lpwstr/>
      </vt:variant>
      <vt:variant>
        <vt:i4>6029413</vt:i4>
      </vt:variant>
      <vt:variant>
        <vt:i4>267</vt:i4>
      </vt:variant>
      <vt:variant>
        <vt:i4>0</vt:i4>
      </vt:variant>
      <vt:variant>
        <vt:i4>5</vt:i4>
      </vt:variant>
      <vt:variant>
        <vt:lpwstr>https://comcom.govt.nz/__data/assets/pdf_file/0012/91011/Authorisation-Guidelines-June-2023.pdf</vt:lpwstr>
      </vt:variant>
      <vt:variant>
        <vt:lpwstr/>
      </vt:variant>
      <vt:variant>
        <vt:i4>2097244</vt:i4>
      </vt:variant>
      <vt:variant>
        <vt:i4>264</vt:i4>
      </vt:variant>
      <vt:variant>
        <vt:i4>0</vt:i4>
      </vt:variant>
      <vt:variant>
        <vt:i4>5</vt:i4>
      </vt:variant>
      <vt:variant>
        <vt:lpwstr>https://comcom.govt.nz/__data/assets/pdf_file/0036/89856/Competitor-Collaboration-guidelines.pdf</vt:lpwstr>
      </vt:variant>
      <vt:variant>
        <vt:lpwstr/>
      </vt:variant>
      <vt:variant>
        <vt:i4>2097244</vt:i4>
      </vt:variant>
      <vt:variant>
        <vt:i4>261</vt:i4>
      </vt:variant>
      <vt:variant>
        <vt:i4>0</vt:i4>
      </vt:variant>
      <vt:variant>
        <vt:i4>5</vt:i4>
      </vt:variant>
      <vt:variant>
        <vt:lpwstr>https://comcom.govt.nz/__data/assets/pdf_file/0036/89856/Competitor-Collaboration-guidelines.pdf</vt:lpwstr>
      </vt:variant>
      <vt:variant>
        <vt:lpwstr/>
      </vt:variant>
      <vt:variant>
        <vt:i4>7667751</vt:i4>
      </vt:variant>
      <vt:variant>
        <vt:i4>258</vt:i4>
      </vt:variant>
      <vt:variant>
        <vt:i4>0</vt:i4>
      </vt:variant>
      <vt:variant>
        <vt:i4>5</vt:i4>
      </vt:variant>
      <vt:variant>
        <vt:lpwstr>https://documents1.worldbank.org/curated/en/099011624132054588/pdf/P1787031cca90801019d011a41f21efe348.pdf</vt:lpwstr>
      </vt:variant>
      <vt:variant>
        <vt:lpwstr/>
      </vt:variant>
      <vt:variant>
        <vt:i4>131140</vt:i4>
      </vt:variant>
      <vt:variant>
        <vt:i4>252</vt:i4>
      </vt:variant>
      <vt:variant>
        <vt:i4>0</vt:i4>
      </vt:variant>
      <vt:variant>
        <vt:i4>5</vt:i4>
      </vt:variant>
      <vt:variant>
        <vt:lpwstr>https://www.rbnz.govt.nz/hub/publications/financial-inclusion-report/2025/first-steps-to-financial-inclusion</vt:lpwstr>
      </vt:variant>
      <vt:variant>
        <vt:lpwstr/>
      </vt:variant>
      <vt:variant>
        <vt:i4>7995499</vt:i4>
      </vt:variant>
      <vt:variant>
        <vt:i4>249</vt:i4>
      </vt:variant>
      <vt:variant>
        <vt:i4>0</vt:i4>
      </vt:variant>
      <vt:variant>
        <vt:i4>5</vt:i4>
      </vt:variant>
      <vt:variant>
        <vt:lpwstr>https://www.cofr.govt.nz/files/regulatory-charter-financial-markets.pdf</vt:lpwstr>
      </vt:variant>
      <vt:variant>
        <vt:lpwstr/>
      </vt:variant>
      <vt:variant>
        <vt:i4>4587594</vt:i4>
      </vt:variant>
      <vt:variant>
        <vt:i4>246</vt:i4>
      </vt:variant>
      <vt:variant>
        <vt:i4>0</vt:i4>
      </vt:variant>
      <vt:variant>
        <vt:i4>5</vt:i4>
      </vt:variant>
      <vt:variant>
        <vt:lpwstr>https://www.fatf-gafi.org/content/dam/fatf-gafi/images/guidance/Updated-2017-FATF-2013-Guidance.pdf.coredownload.pdf</vt:lpwstr>
      </vt:variant>
      <vt:variant>
        <vt:lpwstr/>
      </vt:variant>
      <vt:variant>
        <vt:i4>4587594</vt:i4>
      </vt:variant>
      <vt:variant>
        <vt:i4>243</vt:i4>
      </vt:variant>
      <vt:variant>
        <vt:i4>0</vt:i4>
      </vt:variant>
      <vt:variant>
        <vt:i4>5</vt:i4>
      </vt:variant>
      <vt:variant>
        <vt:lpwstr>https://www.fatf-gafi.org/content/dam/fatf-gafi/images/guidance/Updated-2017-FATF-2013-Guidance.pdf.coredownload.pdf</vt:lpwstr>
      </vt:variant>
      <vt:variant>
        <vt:lpwstr/>
      </vt:variant>
      <vt:variant>
        <vt:i4>4456470</vt:i4>
      </vt:variant>
      <vt:variant>
        <vt:i4>240</vt:i4>
      </vt:variant>
      <vt:variant>
        <vt:i4>0</vt:i4>
      </vt:variant>
      <vt:variant>
        <vt:i4>5</vt:i4>
      </vt:variant>
      <vt:variant>
        <vt:lpwstr>https://www.fca.org.uk/publication/corporate/uk-payment-accounts-access-and-closures.pdf</vt:lpwstr>
      </vt:variant>
      <vt:variant>
        <vt:lpwstr/>
      </vt:variant>
      <vt:variant>
        <vt:i4>6422609</vt:i4>
      </vt:variant>
      <vt:variant>
        <vt:i4>237</vt:i4>
      </vt:variant>
      <vt:variant>
        <vt:i4>0</vt:i4>
      </vt:variant>
      <vt:variant>
        <vt:i4>5</vt:i4>
      </vt:variant>
      <vt:variant>
        <vt:lpwstr>https://assets.publishing.service.gov.uk/media/5a819fbeed915d74e33ff34a/Basic_bank_account_2016_dec_final.pdf</vt:lpwstr>
      </vt:variant>
      <vt:variant>
        <vt:lpwstr/>
      </vt:variant>
      <vt:variant>
        <vt:i4>7667751</vt:i4>
      </vt:variant>
      <vt:variant>
        <vt:i4>234</vt:i4>
      </vt:variant>
      <vt:variant>
        <vt:i4>0</vt:i4>
      </vt:variant>
      <vt:variant>
        <vt:i4>5</vt:i4>
      </vt:variant>
      <vt:variant>
        <vt:lpwstr>https://documents1.worldbank.org/curated/en/099011624132054588/pdf/P1787031cca90801019d011a41f21efe348.pdf</vt:lpwstr>
      </vt:variant>
      <vt:variant>
        <vt:lpwstr/>
      </vt:variant>
      <vt:variant>
        <vt:i4>2293863</vt:i4>
      </vt:variant>
      <vt:variant>
        <vt:i4>231</vt:i4>
      </vt:variant>
      <vt:variant>
        <vt:i4>0</vt:i4>
      </vt:variant>
      <vt:variant>
        <vt:i4>5</vt:i4>
      </vt:variant>
      <vt:variant>
        <vt:lpwstr>https://www.cgap.org/blog/mexicos-tiered-kyc-update-on-market-response</vt:lpwstr>
      </vt:variant>
      <vt:variant>
        <vt:lpwstr/>
      </vt:variant>
      <vt:variant>
        <vt:i4>4718602</vt:i4>
      </vt:variant>
      <vt:variant>
        <vt:i4>228</vt:i4>
      </vt:variant>
      <vt:variant>
        <vt:i4>0</vt:i4>
      </vt:variant>
      <vt:variant>
        <vt:i4>5</vt:i4>
      </vt:variant>
      <vt:variant>
        <vt:lpwstr>https://www.cgap.org/blog/bold-move-toward-simplifying-amlcft-lessons-mexico</vt:lpwstr>
      </vt:variant>
      <vt:variant>
        <vt:lpwstr/>
      </vt:variant>
      <vt:variant>
        <vt:i4>1114182</vt:i4>
      </vt:variant>
      <vt:variant>
        <vt:i4>225</vt:i4>
      </vt:variant>
      <vt:variant>
        <vt:i4>0</vt:i4>
      </vt:variant>
      <vt:variant>
        <vt:i4>5</vt:i4>
      </vt:variant>
      <vt:variant>
        <vt:lpwstr>https://www.aiprise.com/blog/tiered-kyc-for-customer-onboarding</vt:lpwstr>
      </vt:variant>
      <vt:variant>
        <vt:lpwstr>:~:text=Enhanced%20operational%20efficiency%3A%20A%20tiered,customers%20who%20need%20closer%20scrutiny.</vt:lpwstr>
      </vt:variant>
      <vt:variant>
        <vt:i4>3604593</vt:i4>
      </vt:variant>
      <vt:variant>
        <vt:i4>219</vt:i4>
      </vt:variant>
      <vt:variant>
        <vt:i4>0</vt:i4>
      </vt:variant>
      <vt:variant>
        <vt:i4>5</vt:i4>
      </vt:variant>
      <vt:variant>
        <vt:lpwstr>https://www.cbe.org.eg/en/news-publications/news/2024/02/22/08/20/financial-inclusion-rates-rose-to-70,-d-,7-percent-by-the-end-of-2023</vt:lpwstr>
      </vt:variant>
      <vt:variant>
        <vt:lpwstr/>
      </vt:variant>
      <vt:variant>
        <vt:i4>7208993</vt:i4>
      </vt:variant>
      <vt:variant>
        <vt:i4>216</vt:i4>
      </vt:variant>
      <vt:variant>
        <vt:i4>0</vt:i4>
      </vt:variant>
      <vt:variant>
        <vt:i4>5</vt:i4>
      </vt:variant>
      <vt:variant>
        <vt:lpwstr>https://efina.org.ng/wp-content/uploads/2024/03/A2F-2023-Event-Day-Presentation-Version4-1.pdf</vt:lpwstr>
      </vt:variant>
      <vt:variant>
        <vt:lpwstr/>
      </vt:variant>
      <vt:variant>
        <vt:i4>786504</vt:i4>
      </vt:variant>
      <vt:variant>
        <vt:i4>213</vt:i4>
      </vt:variant>
      <vt:variant>
        <vt:i4>0</vt:i4>
      </vt:variant>
      <vt:variant>
        <vt:i4>5</vt:i4>
      </vt:variant>
      <vt:variant>
        <vt:lpwstr>https://www.worldbank.org/en/publication/globalfindex</vt:lpwstr>
      </vt:variant>
      <vt:variant>
        <vt:lpwstr>:~:text=The%202021%20edition%2C%20based%20on,behaviors%20that%20enable%20financial%20resilience.</vt:lpwstr>
      </vt:variant>
      <vt:variant>
        <vt:i4>4653062</vt:i4>
      </vt:variant>
      <vt:variant>
        <vt:i4>210</vt:i4>
      </vt:variant>
      <vt:variant>
        <vt:i4>0</vt:i4>
      </vt:variant>
      <vt:variant>
        <vt:i4>5</vt:i4>
      </vt:variant>
      <vt:variant>
        <vt:lpwstr>https://digitalfinance.worldbank.org/action-1</vt:lpwstr>
      </vt:variant>
      <vt:variant>
        <vt:lpwstr/>
      </vt:variant>
      <vt:variant>
        <vt:i4>6684789</vt:i4>
      </vt:variant>
      <vt:variant>
        <vt:i4>207</vt:i4>
      </vt:variant>
      <vt:variant>
        <vt:i4>0</vt:i4>
      </vt:variant>
      <vt:variant>
        <vt:i4>5</vt:i4>
      </vt:variant>
      <vt:variant>
        <vt:lpwstr>https://www.fatf-gafi.org/en/publications/Financialinclusionandnpoissues/aml-cft-financial-inclusion-public-consultation-february-2025.html</vt:lpwstr>
      </vt:variant>
      <vt:variant>
        <vt:lpwstr/>
      </vt:variant>
      <vt:variant>
        <vt:i4>2097201</vt:i4>
      </vt:variant>
      <vt:variant>
        <vt:i4>204</vt:i4>
      </vt:variant>
      <vt:variant>
        <vt:i4>0</vt:i4>
      </vt:variant>
      <vt:variant>
        <vt:i4>5</vt:i4>
      </vt:variant>
      <vt:variant>
        <vt:lpwstr>https://www.fca.org.uk/publication/research/research-note-international-perspectives-on-de-risking.pdf</vt:lpwstr>
      </vt:variant>
      <vt:variant>
        <vt:lpwstr/>
      </vt:variant>
      <vt:variant>
        <vt:i4>4587620</vt:i4>
      </vt:variant>
      <vt:variant>
        <vt:i4>201</vt:i4>
      </vt:variant>
      <vt:variant>
        <vt:i4>0</vt:i4>
      </vt:variant>
      <vt:variant>
        <vt:i4>5</vt:i4>
      </vt:variant>
      <vt:variant>
        <vt:lpwstr>https://www.findevgateway.org/sites/default/files/publications/submissions/72016/Emergency Disbursements during COVID-19_20200718.pdf</vt:lpwstr>
      </vt:variant>
      <vt:variant>
        <vt:lpwstr/>
      </vt:variant>
      <vt:variant>
        <vt:i4>4980758</vt:i4>
      </vt:variant>
      <vt:variant>
        <vt:i4>198</vt:i4>
      </vt:variant>
      <vt:variant>
        <vt:i4>0</vt:i4>
      </vt:variant>
      <vt:variant>
        <vt:i4>5</vt:i4>
      </vt:variant>
      <vt:variant>
        <vt:lpwstr>https://www.afi-global.org/wp-content/uploads/2024/10/Digital-Financial-Services-Regulation-Current-State-of-Practice-Report.pdf</vt:lpwstr>
      </vt:variant>
      <vt:variant>
        <vt:lpwstr/>
      </vt:variant>
      <vt:variant>
        <vt:i4>6619256</vt:i4>
      </vt:variant>
      <vt:variant>
        <vt:i4>195</vt:i4>
      </vt:variant>
      <vt:variant>
        <vt:i4>0</vt:i4>
      </vt:variant>
      <vt:variant>
        <vt:i4>5</vt:i4>
      </vt:variant>
      <vt:variant>
        <vt:lpwstr>https://www.afi-global.org/sites/default/files/publications/2019-03/KYC-Innovations-Financial-Inclusion-Integrity-Selected-AFI-Member-Countries.pdf</vt:lpwstr>
      </vt:variant>
      <vt:variant>
        <vt:lpwstr/>
      </vt:variant>
      <vt:variant>
        <vt:i4>4980812</vt:i4>
      </vt:variant>
      <vt:variant>
        <vt:i4>192</vt:i4>
      </vt:variant>
      <vt:variant>
        <vt:i4>0</vt:i4>
      </vt:variant>
      <vt:variant>
        <vt:i4>5</vt:i4>
      </vt:variant>
      <vt:variant>
        <vt:lpwstr>https://www.nortonrosefulbright.com/en/knowledge/publications/66428537/asic-approves-abas-revised-banking-code-what-you-need-to-know</vt:lpwstr>
      </vt:variant>
      <vt:variant>
        <vt:lpwstr/>
      </vt:variant>
      <vt:variant>
        <vt:i4>3735600</vt:i4>
      </vt:variant>
      <vt:variant>
        <vt:i4>189</vt:i4>
      </vt:variant>
      <vt:variant>
        <vt:i4>0</vt:i4>
      </vt:variant>
      <vt:variant>
        <vt:i4>5</vt:i4>
      </vt:variant>
      <vt:variant>
        <vt:lpwstr>http://www.asic.gov.au/</vt:lpwstr>
      </vt:variant>
      <vt:variant>
        <vt:lpwstr/>
      </vt:variant>
      <vt:variant>
        <vt:i4>7733301</vt:i4>
      </vt:variant>
      <vt:variant>
        <vt:i4>186</vt:i4>
      </vt:variant>
      <vt:variant>
        <vt:i4>0</vt:i4>
      </vt:variant>
      <vt:variant>
        <vt:i4>5</vt:i4>
      </vt:variant>
      <vt:variant>
        <vt:lpwstr>https://download.asic.gov.au/media/rarnv1ss/rep785-published-15-july-2024-20240715.pdf</vt:lpwstr>
      </vt:variant>
      <vt:variant>
        <vt:lpwstr/>
      </vt:variant>
      <vt:variant>
        <vt:i4>7733301</vt:i4>
      </vt:variant>
      <vt:variant>
        <vt:i4>183</vt:i4>
      </vt:variant>
      <vt:variant>
        <vt:i4>0</vt:i4>
      </vt:variant>
      <vt:variant>
        <vt:i4>5</vt:i4>
      </vt:variant>
      <vt:variant>
        <vt:lpwstr>https://download.asic.gov.au/media/rarnv1ss/rep785-published-15-july-2024-20240715.pdf</vt:lpwstr>
      </vt:variant>
      <vt:variant>
        <vt:lpwstr/>
      </vt:variant>
      <vt:variant>
        <vt:i4>2818160</vt:i4>
      </vt:variant>
      <vt:variant>
        <vt:i4>180</vt:i4>
      </vt:variant>
      <vt:variant>
        <vt:i4>0</vt:i4>
      </vt:variant>
      <vt:variant>
        <vt:i4>5</vt:i4>
      </vt:variant>
      <vt:variant>
        <vt:lpwstr>https://www.gov.uk/government/publications/basic-bank-accounts-january-to-june-2016</vt:lpwstr>
      </vt:variant>
      <vt:variant>
        <vt:lpwstr/>
      </vt:variant>
      <vt:variant>
        <vt:i4>2949165</vt:i4>
      </vt:variant>
      <vt:variant>
        <vt:i4>177</vt:i4>
      </vt:variant>
      <vt:variant>
        <vt:i4>0</vt:i4>
      </vt:variant>
      <vt:variant>
        <vt:i4>5</vt:i4>
      </vt:variant>
      <vt:variant>
        <vt:lpwstr>https://www.afi-global.org/wp-content/uploads/publications/the_use_of_financial_inclusion_data_country_case_study_south_africa.pdf</vt:lpwstr>
      </vt:variant>
      <vt:variant>
        <vt:lpwstr/>
      </vt:variant>
      <vt:variant>
        <vt:i4>3801140</vt:i4>
      </vt:variant>
      <vt:variant>
        <vt:i4>174</vt:i4>
      </vt:variant>
      <vt:variant>
        <vt:i4>0</vt:i4>
      </vt:variant>
      <vt:variant>
        <vt:i4>5</vt:i4>
      </vt:variant>
      <vt:variant>
        <vt:lpwstr>https://www.ausbanking.org.au/banking-code/</vt:lpwstr>
      </vt:variant>
      <vt:variant>
        <vt:lpwstr/>
      </vt:variant>
      <vt:variant>
        <vt:i4>2949165</vt:i4>
      </vt:variant>
      <vt:variant>
        <vt:i4>171</vt:i4>
      </vt:variant>
      <vt:variant>
        <vt:i4>0</vt:i4>
      </vt:variant>
      <vt:variant>
        <vt:i4>5</vt:i4>
      </vt:variant>
      <vt:variant>
        <vt:lpwstr>https://www.afi-global.org/wp-content/uploads/publications/the_use_of_financial_inclusion_data_country_case_study_south_africa.pdf</vt:lpwstr>
      </vt:variant>
      <vt:variant>
        <vt:lpwstr/>
      </vt:variant>
      <vt:variant>
        <vt:i4>720978</vt:i4>
      </vt:variant>
      <vt:variant>
        <vt:i4>168</vt:i4>
      </vt:variant>
      <vt:variant>
        <vt:i4>0</vt:i4>
      </vt:variant>
      <vt:variant>
        <vt:i4>5</vt:i4>
      </vt:variant>
      <vt:variant>
        <vt:lpwstr>https://assets.publishing.service.gov.uk/media/5a7d4effe5274a33be64863c/141211_basic_accounts_agreement_text.pdf</vt:lpwstr>
      </vt:variant>
      <vt:variant>
        <vt:lpwstr/>
      </vt:variant>
      <vt:variant>
        <vt:i4>786504</vt:i4>
      </vt:variant>
      <vt:variant>
        <vt:i4>165</vt:i4>
      </vt:variant>
      <vt:variant>
        <vt:i4>0</vt:i4>
      </vt:variant>
      <vt:variant>
        <vt:i4>5</vt:i4>
      </vt:variant>
      <vt:variant>
        <vt:lpwstr>https://www.worldbank.org/en/publication/globalfindex</vt:lpwstr>
      </vt:variant>
      <vt:variant>
        <vt:lpwstr>:~:text=The%202021%20edition%2C%20based%20on,behaviors%20that%20enable%20financial%20resilience.</vt:lpwstr>
      </vt:variant>
      <vt:variant>
        <vt:i4>1703964</vt:i4>
      </vt:variant>
      <vt:variant>
        <vt:i4>162</vt:i4>
      </vt:variant>
      <vt:variant>
        <vt:i4>0</vt:i4>
      </vt:variant>
      <vt:variant>
        <vt:i4>5</vt:i4>
      </vt:variant>
      <vt:variant>
        <vt:lpwstr>https://op.europa.eu/en/publication-detail/-/publication/0854f727-6117-11eb-8146-01aa75ed71a1/language-en</vt:lpwstr>
      </vt:variant>
      <vt:variant>
        <vt:lpwstr/>
      </vt:variant>
      <vt:variant>
        <vt:i4>7864371</vt:i4>
      </vt:variant>
      <vt:variant>
        <vt:i4>159</vt:i4>
      </vt:variant>
      <vt:variant>
        <vt:i4>0</vt:i4>
      </vt:variant>
      <vt:variant>
        <vt:i4>5</vt:i4>
      </vt:variant>
      <vt:variant>
        <vt:lpwstr>https://www.engage.hoganlovells.com/knowledgeservices/news/eu-payment-accounts-directive-commission-review-mainly-positive-but-improved-data-collection-needed</vt:lpwstr>
      </vt:variant>
      <vt:variant>
        <vt:lpwstr/>
      </vt:variant>
      <vt:variant>
        <vt:i4>1703964</vt:i4>
      </vt:variant>
      <vt:variant>
        <vt:i4>156</vt:i4>
      </vt:variant>
      <vt:variant>
        <vt:i4>0</vt:i4>
      </vt:variant>
      <vt:variant>
        <vt:i4>5</vt:i4>
      </vt:variant>
      <vt:variant>
        <vt:lpwstr>https://op.europa.eu/en/publication-detail/-/publication/0854f727-6117-11eb-8146-01aa75ed71a1/language-en</vt:lpwstr>
      </vt:variant>
      <vt:variant>
        <vt:lpwstr/>
      </vt:variant>
      <vt:variant>
        <vt:i4>7798900</vt:i4>
      </vt:variant>
      <vt:variant>
        <vt:i4>153</vt:i4>
      </vt:variant>
      <vt:variant>
        <vt:i4>0</vt:i4>
      </vt:variant>
      <vt:variant>
        <vt:i4>5</vt:i4>
      </vt:variant>
      <vt:variant>
        <vt:lpwstr>https://assets.publishing.service.gov.uk/media/5ff33d77e90e0776ab4e2093/Basic_bank_account_report__003_.pdf</vt:lpwstr>
      </vt:variant>
      <vt:variant>
        <vt:lpwstr/>
      </vt:variant>
      <vt:variant>
        <vt:i4>1179664</vt:i4>
      </vt:variant>
      <vt:variant>
        <vt:i4>150</vt:i4>
      </vt:variant>
      <vt:variant>
        <vt:i4>0</vt:i4>
      </vt:variant>
      <vt:variant>
        <vt:i4>5</vt:i4>
      </vt:variant>
      <vt:variant>
        <vt:lpwstr>https://www.service-public.fr/particuliers/actualites/A15560?lang=en</vt:lpwstr>
      </vt:variant>
      <vt:variant>
        <vt:lpwstr>:~:text=Established%20by%20Article%2058%20of,Member%20State%20of%20the%20European</vt:lpwstr>
      </vt:variant>
      <vt:variant>
        <vt:i4>1376264</vt:i4>
      </vt:variant>
      <vt:variant>
        <vt:i4>147</vt:i4>
      </vt:variant>
      <vt:variant>
        <vt:i4>0</vt:i4>
      </vt:variant>
      <vt:variant>
        <vt:i4>5</vt:i4>
      </vt:variant>
      <vt:variant>
        <vt:lpwstr>https://www.canada.ca/en/financial-consumer-agency/services/industry/bulletins/refusal-open-account.html</vt:lpwstr>
      </vt:variant>
      <vt:variant>
        <vt:lpwstr/>
      </vt:variant>
      <vt:variant>
        <vt:i4>786504</vt:i4>
      </vt:variant>
      <vt:variant>
        <vt:i4>144</vt:i4>
      </vt:variant>
      <vt:variant>
        <vt:i4>0</vt:i4>
      </vt:variant>
      <vt:variant>
        <vt:i4>5</vt:i4>
      </vt:variant>
      <vt:variant>
        <vt:lpwstr>https://www.worldbank.org/en/publication/globalfindex</vt:lpwstr>
      </vt:variant>
      <vt:variant>
        <vt:lpwstr>:~:text=The%202021%20edition%2C%20based%20on,behaviors%20that%20enable%20financial%20resilience.</vt:lpwstr>
      </vt:variant>
      <vt:variant>
        <vt:i4>7667751</vt:i4>
      </vt:variant>
      <vt:variant>
        <vt:i4>141</vt:i4>
      </vt:variant>
      <vt:variant>
        <vt:i4>0</vt:i4>
      </vt:variant>
      <vt:variant>
        <vt:i4>5</vt:i4>
      </vt:variant>
      <vt:variant>
        <vt:lpwstr>https://documents1.worldbank.org/curated/en/099011624132054588/pdf/P1787031cca90801019d011a41f21efe348.pdf</vt:lpwstr>
      </vt:variant>
      <vt:variant>
        <vt:lpwstr/>
      </vt:variant>
      <vt:variant>
        <vt:i4>8257618</vt:i4>
      </vt:variant>
      <vt:variant>
        <vt:i4>138</vt:i4>
      </vt:variant>
      <vt:variant>
        <vt:i4>0</vt:i4>
      </vt:variant>
      <vt:variant>
        <vt:i4>5</vt:i4>
      </vt:variant>
      <vt:variant>
        <vt:lpwstr>https://www.europarl.europa.eu/RegData/docs_autres_institutions/commission_europeenne/sec/2011/0906/COM_SEC(2011)0906_EN.pdf</vt:lpwstr>
      </vt:variant>
      <vt:variant>
        <vt:lpwstr/>
      </vt:variant>
      <vt:variant>
        <vt:i4>7667751</vt:i4>
      </vt:variant>
      <vt:variant>
        <vt:i4>135</vt:i4>
      </vt:variant>
      <vt:variant>
        <vt:i4>0</vt:i4>
      </vt:variant>
      <vt:variant>
        <vt:i4>5</vt:i4>
      </vt:variant>
      <vt:variant>
        <vt:lpwstr>https://documents1.worldbank.org/curated/en/099011624132054588/pdf/P1787031cca90801019d011a41f21efe348.pdf</vt:lpwstr>
      </vt:variant>
      <vt:variant>
        <vt:lpwstr/>
      </vt:variant>
      <vt:variant>
        <vt:i4>7667751</vt:i4>
      </vt:variant>
      <vt:variant>
        <vt:i4>132</vt:i4>
      </vt:variant>
      <vt:variant>
        <vt:i4>0</vt:i4>
      </vt:variant>
      <vt:variant>
        <vt:i4>5</vt:i4>
      </vt:variant>
      <vt:variant>
        <vt:lpwstr>https://documents1.worldbank.org/curated/en/099011624132054588/pdf/P1787031cca90801019d011a41f21efe348.pdf</vt:lpwstr>
      </vt:variant>
      <vt:variant>
        <vt:lpwstr/>
      </vt:variant>
      <vt:variant>
        <vt:i4>7667751</vt:i4>
      </vt:variant>
      <vt:variant>
        <vt:i4>129</vt:i4>
      </vt:variant>
      <vt:variant>
        <vt:i4>0</vt:i4>
      </vt:variant>
      <vt:variant>
        <vt:i4>5</vt:i4>
      </vt:variant>
      <vt:variant>
        <vt:lpwstr>https://documents1.worldbank.org/curated/en/099011624132054588/pdf/P1787031cca90801019d011a41f21efe348.pdf</vt:lpwstr>
      </vt:variant>
      <vt:variant>
        <vt:lpwstr/>
      </vt:variant>
      <vt:variant>
        <vt:i4>7667755</vt:i4>
      </vt:variant>
      <vt:variant>
        <vt:i4>126</vt:i4>
      </vt:variant>
      <vt:variant>
        <vt:i4>0</vt:i4>
      </vt:variant>
      <vt:variant>
        <vt:i4>5</vt:i4>
      </vt:variant>
      <vt:variant>
        <vt:lpwstr>https://www.worldbank.org/en/topic/financialinclusion/overview</vt:lpwstr>
      </vt:variant>
      <vt:variant>
        <vt:lpwstr/>
      </vt:variant>
      <vt:variant>
        <vt:i4>8257583</vt:i4>
      </vt:variant>
      <vt:variant>
        <vt:i4>123</vt:i4>
      </vt:variant>
      <vt:variant>
        <vt:i4>0</vt:i4>
      </vt:variant>
      <vt:variant>
        <vt:i4>5</vt:i4>
      </vt:variant>
      <vt:variant>
        <vt:lpwstr>https://www.rbnz.govt.nz/-/media/project/sites/rbnz/files/publications/financial-inclusion/rbnz-financial-inclusion-report.pdf</vt:lpwstr>
      </vt:variant>
      <vt:variant>
        <vt:lpwstr/>
      </vt:variant>
      <vt:variant>
        <vt:i4>131140</vt:i4>
      </vt:variant>
      <vt:variant>
        <vt:i4>120</vt:i4>
      </vt:variant>
      <vt:variant>
        <vt:i4>0</vt:i4>
      </vt:variant>
      <vt:variant>
        <vt:i4>5</vt:i4>
      </vt:variant>
      <vt:variant>
        <vt:lpwstr>https://www.rbnz.govt.nz/hub/publications/financial-inclusion-report/2025/first-steps-to-financial-inclusion</vt:lpwstr>
      </vt:variant>
      <vt:variant>
        <vt:lpwstr/>
      </vt:variant>
      <vt:variant>
        <vt:i4>4063348</vt:i4>
      </vt:variant>
      <vt:variant>
        <vt:i4>117</vt:i4>
      </vt:variant>
      <vt:variant>
        <vt:i4>0</vt:i4>
      </vt:variant>
      <vt:variant>
        <vt:i4>5</vt:i4>
      </vt:variant>
      <vt:variant>
        <vt:lpwstr>http://www.comcom.govt.nz/</vt:lpwstr>
      </vt:variant>
      <vt:variant>
        <vt:lpwstr/>
      </vt:variant>
      <vt:variant>
        <vt:i4>1966102</vt:i4>
      </vt:variant>
      <vt:variant>
        <vt:i4>114</vt:i4>
      </vt:variant>
      <vt:variant>
        <vt:i4>0</vt:i4>
      </vt:variant>
      <vt:variant>
        <vt:i4>5</vt:i4>
      </vt:variant>
      <vt:variant>
        <vt:lpwstr>https://www.fatf-gafi.org/en/publications/Fatfrecommendations/R1-INR1-INR10-INR15-Public-Consultation-Oct-24.html</vt:lpwstr>
      </vt:variant>
      <vt:variant>
        <vt:lpwstr/>
      </vt:variant>
      <vt:variant>
        <vt:i4>2293863</vt:i4>
      </vt:variant>
      <vt:variant>
        <vt:i4>111</vt:i4>
      </vt:variant>
      <vt:variant>
        <vt:i4>0</vt:i4>
      </vt:variant>
      <vt:variant>
        <vt:i4>5</vt:i4>
      </vt:variant>
      <vt:variant>
        <vt:lpwstr>https://www.cgap.org/blog/mexicos-tiered-kyc-update-on-market-response</vt:lpwstr>
      </vt:variant>
      <vt:variant>
        <vt:lpwstr/>
      </vt:variant>
      <vt:variant>
        <vt:i4>917557</vt:i4>
      </vt:variant>
      <vt:variant>
        <vt:i4>108</vt:i4>
      </vt:variant>
      <vt:variant>
        <vt:i4>0</vt:i4>
      </vt:variant>
      <vt:variant>
        <vt:i4>5</vt:i4>
      </vt:variant>
      <vt:variant>
        <vt:lpwstr>https://irp.cdn-website.com/96a27c73/files/uploaded/Community Networks Aotearoa _ Better Banking 2023 Report.pdf</vt:lpwstr>
      </vt:variant>
      <vt:variant>
        <vt:lpwstr/>
      </vt:variant>
      <vt:variant>
        <vt:i4>1048645</vt:i4>
      </vt:variant>
      <vt:variant>
        <vt:i4>105</vt:i4>
      </vt:variant>
      <vt:variant>
        <vt:i4>0</vt:i4>
      </vt:variant>
      <vt:variant>
        <vt:i4>5</vt:i4>
      </vt:variant>
      <vt:variant>
        <vt:lpwstr>https://www.imf.org/en/Publications/Departmental-Papers-Policy-Papers/Issues/2018/09/18/Financial-Inclusion-in-Asia-Pacific-46115</vt:lpwstr>
      </vt:variant>
      <vt:variant>
        <vt:lpwstr/>
      </vt:variant>
      <vt:variant>
        <vt:i4>6946868</vt:i4>
      </vt:variant>
      <vt:variant>
        <vt:i4>102</vt:i4>
      </vt:variant>
      <vt:variant>
        <vt:i4>0</vt:i4>
      </vt:variant>
      <vt:variant>
        <vt:i4>5</vt:i4>
      </vt:variant>
      <vt:variant>
        <vt:lpwstr>https://www.rbnz.govt.nz/hub/publications/financial-stability-report/2023/may-2023/fsr-may-23-box-b</vt:lpwstr>
      </vt:variant>
      <vt:variant>
        <vt:lpwstr/>
      </vt:variant>
      <vt:variant>
        <vt:i4>2883707</vt:i4>
      </vt:variant>
      <vt:variant>
        <vt:i4>99</vt:i4>
      </vt:variant>
      <vt:variant>
        <vt:i4>0</vt:i4>
      </vt:variant>
      <vt:variant>
        <vt:i4>5</vt:i4>
      </vt:variant>
      <vt:variant>
        <vt:lpwstr>https://www.tandfonline.com/doi/full/10.1080/07360932.2020.1715238</vt:lpwstr>
      </vt:variant>
      <vt:variant>
        <vt:lpwstr/>
      </vt:variant>
      <vt:variant>
        <vt:i4>2687099</vt:i4>
      </vt:variant>
      <vt:variant>
        <vt:i4>96</vt:i4>
      </vt:variant>
      <vt:variant>
        <vt:i4>0</vt:i4>
      </vt:variant>
      <vt:variant>
        <vt:i4>5</vt:i4>
      </vt:variant>
      <vt:variant>
        <vt:lpwstr>https://www.yalejreg.com/wp-content/uploads/Adam-J.-Levitin-The-Financial-Inclusion-Trilemma-41-Yale-J.-on-Regul.-109-2024.pdf</vt:lpwstr>
      </vt:variant>
      <vt:variant>
        <vt:lpwstr/>
      </vt:variant>
      <vt:variant>
        <vt:i4>2687099</vt:i4>
      </vt:variant>
      <vt:variant>
        <vt:i4>93</vt:i4>
      </vt:variant>
      <vt:variant>
        <vt:i4>0</vt:i4>
      </vt:variant>
      <vt:variant>
        <vt:i4>5</vt:i4>
      </vt:variant>
      <vt:variant>
        <vt:lpwstr>https://www.yalejreg.com/wp-content/uploads/Adam-J.-Levitin-The-Financial-Inclusion-Trilemma-41-Yale-J.-on-Regul.-109-2024.pdf</vt:lpwstr>
      </vt:variant>
      <vt:variant>
        <vt:lpwstr/>
      </vt:variant>
      <vt:variant>
        <vt:i4>6488164</vt:i4>
      </vt:variant>
      <vt:variant>
        <vt:i4>90</vt:i4>
      </vt:variant>
      <vt:variant>
        <vt:i4>0</vt:i4>
      </vt:variant>
      <vt:variant>
        <vt:i4>5</vt:i4>
      </vt:variant>
      <vt:variant>
        <vt:lpwstr>https://bankingjournal.aba.com/2020/08/digital-onboarding-and-origination-the-cure-for-financial-institutions-customeracquisition-pains</vt:lpwstr>
      </vt:variant>
      <vt:variant>
        <vt:lpwstr/>
      </vt:variant>
      <vt:variant>
        <vt:i4>131140</vt:i4>
      </vt:variant>
      <vt:variant>
        <vt:i4>87</vt:i4>
      </vt:variant>
      <vt:variant>
        <vt:i4>0</vt:i4>
      </vt:variant>
      <vt:variant>
        <vt:i4>5</vt:i4>
      </vt:variant>
      <vt:variant>
        <vt:lpwstr>https://www.rbnz.govt.nz/hub/publications/financial-inclusion-report/2025/first-steps-to-financial-inclusion</vt:lpwstr>
      </vt:variant>
      <vt:variant>
        <vt:lpwstr/>
      </vt:variant>
      <vt:variant>
        <vt:i4>1769502</vt:i4>
      </vt:variant>
      <vt:variant>
        <vt:i4>84</vt:i4>
      </vt:variant>
      <vt:variant>
        <vt:i4>0</vt:i4>
      </vt:variant>
      <vt:variant>
        <vt:i4>5</vt:i4>
      </vt:variant>
      <vt:variant>
        <vt:lpwstr>https://www.rbnz.govt.nz/regulation-and-supervision/cross-sector-oversight/thematic-reviews/thematic-review-on-financial-inclusion</vt:lpwstr>
      </vt:variant>
      <vt:variant>
        <vt:lpwstr>:~:text=About%20the%20review&amp;text=This%20thematic%20review%20is%20an,to%20financial%20inclusion%20and%20participation.</vt:lpwstr>
      </vt:variant>
      <vt:variant>
        <vt:i4>1245197</vt:i4>
      </vt:variant>
      <vt:variant>
        <vt:i4>81</vt:i4>
      </vt:variant>
      <vt:variant>
        <vt:i4>0</vt:i4>
      </vt:variant>
      <vt:variant>
        <vt:i4>5</vt:i4>
      </vt:variant>
      <vt:variant>
        <vt:lpwstr>https://documents1.worldbank.org/curated/zh/806481470154477031/pdf/Payment-Aspects-of-Financial-Inclusion.pdf</vt:lpwstr>
      </vt:variant>
      <vt:variant>
        <vt:lpwstr/>
      </vt:variant>
      <vt:variant>
        <vt:i4>131140</vt:i4>
      </vt:variant>
      <vt:variant>
        <vt:i4>78</vt:i4>
      </vt:variant>
      <vt:variant>
        <vt:i4>0</vt:i4>
      </vt:variant>
      <vt:variant>
        <vt:i4>5</vt:i4>
      </vt:variant>
      <vt:variant>
        <vt:lpwstr>https://www.rbnz.govt.nz/hub/publications/financial-inclusion-report/2025/first-steps-to-financial-inclusion</vt:lpwstr>
      </vt:variant>
      <vt:variant>
        <vt:lpwstr/>
      </vt:variant>
      <vt:variant>
        <vt:i4>5767284</vt:i4>
      </vt:variant>
      <vt:variant>
        <vt:i4>75</vt:i4>
      </vt:variant>
      <vt:variant>
        <vt:i4>0</vt:i4>
      </vt:variant>
      <vt:variant>
        <vt:i4>5</vt:i4>
      </vt:variant>
      <vt:variant>
        <vt:lpwstr>https://www.parliament.nz/resource/en-NZ/53SCPET_EVI_1ef2f054-2701-4f79-0322-08db5a64c54a_PET4443/5e9eee3c628d3c0dd9342a96617b56b16bc1ece1</vt:lpwstr>
      </vt:variant>
      <vt:variant>
        <vt:lpwstr/>
      </vt:variant>
      <vt:variant>
        <vt:i4>3014781</vt:i4>
      </vt:variant>
      <vt:variant>
        <vt:i4>72</vt:i4>
      </vt:variant>
      <vt:variant>
        <vt:i4>0</vt:i4>
      </vt:variant>
      <vt:variant>
        <vt:i4>5</vt:i4>
      </vt:variant>
      <vt:variant>
        <vt:lpwstr>https://www.fma.govt.nz/assets/Research/Consumer-Confidence-Survey-Overview-Report-2024.pdf</vt:lpwstr>
      </vt:variant>
      <vt:variant>
        <vt:lpwstr/>
      </vt:variant>
      <vt:variant>
        <vt:i4>786504</vt:i4>
      </vt:variant>
      <vt:variant>
        <vt:i4>69</vt:i4>
      </vt:variant>
      <vt:variant>
        <vt:i4>0</vt:i4>
      </vt:variant>
      <vt:variant>
        <vt:i4>5</vt:i4>
      </vt:variant>
      <vt:variant>
        <vt:lpwstr>https://www.worldbank.org/en/publication/globalfindex</vt:lpwstr>
      </vt:variant>
      <vt:variant>
        <vt:lpwstr>:~:text=The%202021%20edition%2C%20based%20on,behaviors%20that%20enable%20financial%20resilience.</vt:lpwstr>
      </vt:variant>
      <vt:variant>
        <vt:i4>2228343</vt:i4>
      </vt:variant>
      <vt:variant>
        <vt:i4>66</vt:i4>
      </vt:variant>
      <vt:variant>
        <vt:i4>0</vt:i4>
      </vt:variant>
      <vt:variant>
        <vt:i4>5</vt:i4>
      </vt:variant>
      <vt:variant>
        <vt:lpwstr>https://www.rbnz.govt.nz/regulation-and-supervision/cross-sector-oversight/thematic-reviews/thematic-review-on-financial-inclusion</vt:lpwstr>
      </vt:variant>
      <vt:variant>
        <vt:lpwstr/>
      </vt:variant>
      <vt:variant>
        <vt:i4>131154</vt:i4>
      </vt:variant>
      <vt:variant>
        <vt:i4>63</vt:i4>
      </vt:variant>
      <vt:variant>
        <vt:i4>0</vt:i4>
      </vt:variant>
      <vt:variant>
        <vt:i4>5</vt:i4>
      </vt:variant>
      <vt:variant>
        <vt:lpwstr>https://assets.nationbuilder.com/nationalparty/pages/18407/attachments/original/1695337176/Rebuilding_the_economy.pdf?1695337176</vt:lpwstr>
      </vt:variant>
      <vt:variant>
        <vt:lpwstr/>
      </vt:variant>
      <vt:variant>
        <vt:i4>8323133</vt:i4>
      </vt:variant>
      <vt:variant>
        <vt:i4>60</vt:i4>
      </vt:variant>
      <vt:variant>
        <vt:i4>0</vt:i4>
      </vt:variant>
      <vt:variant>
        <vt:i4>5</vt:i4>
      </vt:variant>
      <vt:variant>
        <vt:lpwstr>https://www.beehive.govt.nz/release/supporting-better-financial-outcomes-kiwis</vt:lpwstr>
      </vt:variant>
      <vt:variant>
        <vt:lpwstr>:~:text=The%20Government%20is%20reforming%20financial,Minister%20Chris%20Bishop%20announced%20today.</vt:lpwstr>
      </vt:variant>
      <vt:variant>
        <vt:i4>262257</vt:i4>
      </vt:variant>
      <vt:variant>
        <vt:i4>57</vt:i4>
      </vt:variant>
      <vt:variant>
        <vt:i4>0</vt:i4>
      </vt:variant>
      <vt:variant>
        <vt:i4>5</vt:i4>
      </vt:variant>
      <vt:variant>
        <vt:lpwstr>https://comcom.govt.nz/__data/assets/pdf_file/0019/362035/Final-report-Personal-banking-services-market-study-20-August-2024-Amended-27-August-2024.pdf</vt:lpwstr>
      </vt:variant>
      <vt:variant>
        <vt:lpwstr/>
      </vt:variant>
      <vt:variant>
        <vt:i4>262257</vt:i4>
      </vt:variant>
      <vt:variant>
        <vt:i4>54</vt:i4>
      </vt:variant>
      <vt:variant>
        <vt:i4>0</vt:i4>
      </vt:variant>
      <vt:variant>
        <vt:i4>5</vt:i4>
      </vt:variant>
      <vt:variant>
        <vt:lpwstr>https://comcom.govt.nz/__data/assets/pdf_file/0019/362035/Final-report-Personal-banking-services-market-study-20-August-2024-Amended-27-August-2024.pdf</vt:lpwstr>
      </vt:variant>
      <vt:variant>
        <vt:lpwstr/>
      </vt:variant>
      <vt:variant>
        <vt:i4>131140</vt:i4>
      </vt:variant>
      <vt:variant>
        <vt:i4>51</vt:i4>
      </vt:variant>
      <vt:variant>
        <vt:i4>0</vt:i4>
      </vt:variant>
      <vt:variant>
        <vt:i4>5</vt:i4>
      </vt:variant>
      <vt:variant>
        <vt:lpwstr>https://www.rbnz.govt.nz/hub/publications/financial-inclusion-report/2025/first-steps-to-financial-inclusion</vt:lpwstr>
      </vt:variant>
      <vt:variant>
        <vt:lpwstr/>
      </vt:variant>
      <vt:variant>
        <vt:i4>917557</vt:i4>
      </vt:variant>
      <vt:variant>
        <vt:i4>48</vt:i4>
      </vt:variant>
      <vt:variant>
        <vt:i4>0</vt:i4>
      </vt:variant>
      <vt:variant>
        <vt:i4>5</vt:i4>
      </vt:variant>
      <vt:variant>
        <vt:lpwstr>https://irp.cdn-website.com/96a27c73/files/uploaded/Community Networks Aotearoa _ Better Banking 2023 Report.pdf</vt:lpwstr>
      </vt:variant>
      <vt:variant>
        <vt:lpwstr/>
      </vt:variant>
      <vt:variant>
        <vt:i4>2556031</vt:i4>
      </vt:variant>
      <vt:variant>
        <vt:i4>45</vt:i4>
      </vt:variant>
      <vt:variant>
        <vt:i4>0</vt:i4>
      </vt:variant>
      <vt:variant>
        <vt:i4>5</vt:i4>
      </vt:variant>
      <vt:variant>
        <vt:lpwstr>https://www.communitynetworksaotearoa.org.nz/about</vt:lpwstr>
      </vt:variant>
      <vt:variant>
        <vt:lpwstr/>
      </vt:variant>
      <vt:variant>
        <vt:i4>5177439</vt:i4>
      </vt:variant>
      <vt:variant>
        <vt:i4>42</vt:i4>
      </vt:variant>
      <vt:variant>
        <vt:i4>0</vt:i4>
      </vt:variant>
      <vt:variant>
        <vt:i4>5</vt:i4>
      </vt:variant>
      <vt:variant>
        <vt:lpwstr>https://www.fincap.org.nz/blog/paying-the-price-a-report-into-issues-prisoners-face-around-access-to-banking/</vt:lpwstr>
      </vt:variant>
      <vt:variant>
        <vt:lpwstr/>
      </vt:variant>
      <vt:variant>
        <vt:i4>1507339</vt:i4>
      </vt:variant>
      <vt:variant>
        <vt:i4>39</vt:i4>
      </vt:variant>
      <vt:variant>
        <vt:i4>0</vt:i4>
      </vt:variant>
      <vt:variant>
        <vt:i4>5</vt:i4>
      </vt:variant>
      <vt:variant>
        <vt:lpwstr>https://people.wgtn.ac.nz/victoria.stace</vt:lpwstr>
      </vt:variant>
      <vt:variant>
        <vt:lpwstr/>
      </vt:variant>
      <vt:variant>
        <vt:i4>8257642</vt:i4>
      </vt:variant>
      <vt:variant>
        <vt:i4>36</vt:i4>
      </vt:variant>
      <vt:variant>
        <vt:i4>0</vt:i4>
      </vt:variant>
      <vt:variant>
        <vt:i4>5</vt:i4>
      </vt:variant>
      <vt:variant>
        <vt:lpwstr>https://www.westpac.co.nz/assets/Personal/life-money/documents/Westpac-NZ-Access-to-Banking-in-Aotearoa-Report.pdf</vt:lpwstr>
      </vt:variant>
      <vt:variant>
        <vt:lpwstr/>
      </vt:variant>
      <vt:variant>
        <vt:i4>3670112</vt:i4>
      </vt:variant>
      <vt:variant>
        <vt:i4>33</vt:i4>
      </vt:variant>
      <vt:variant>
        <vt:i4>0</vt:i4>
      </vt:variant>
      <vt:variant>
        <vt:i4>5</vt:i4>
      </vt:variant>
      <vt:variant>
        <vt:lpwstr>https://www.westpac.co.nz/</vt:lpwstr>
      </vt:variant>
      <vt:variant>
        <vt:lpwstr/>
      </vt:variant>
      <vt:variant>
        <vt:i4>7798897</vt:i4>
      </vt:variant>
      <vt:variant>
        <vt:i4>30</vt:i4>
      </vt:variant>
      <vt:variant>
        <vt:i4>0</vt:i4>
      </vt:variant>
      <vt:variant>
        <vt:i4>5</vt:i4>
      </vt:variant>
      <vt:variant>
        <vt:lpwstr>https://www.cofr.govt.nz/about-us/objectives-and-responsibilities.html</vt:lpwstr>
      </vt:variant>
      <vt:variant>
        <vt:lpwstr/>
      </vt:variant>
      <vt:variant>
        <vt:i4>7798882</vt:i4>
      </vt:variant>
      <vt:variant>
        <vt:i4>27</vt:i4>
      </vt:variant>
      <vt:variant>
        <vt:i4>0</vt:i4>
      </vt:variant>
      <vt:variant>
        <vt:i4>5</vt:i4>
      </vt:variant>
      <vt:variant>
        <vt:lpwstr>https://www.cofr.govt.nz/news-and-publications/quarterly-statement-by-cofr-august-2024.html</vt:lpwstr>
      </vt:variant>
      <vt:variant>
        <vt:lpwstr/>
      </vt:variant>
      <vt:variant>
        <vt:i4>6160413</vt:i4>
      </vt:variant>
      <vt:variant>
        <vt:i4>24</vt:i4>
      </vt:variant>
      <vt:variant>
        <vt:i4>0</vt:i4>
      </vt:variant>
      <vt:variant>
        <vt:i4>5</vt:i4>
      </vt:variant>
      <vt:variant>
        <vt:lpwstr>https://comcom.govt.nz/about-us/our-role/competition-studies/market-study-into-personal-banking-services</vt:lpwstr>
      </vt:variant>
      <vt:variant>
        <vt:lpwstr/>
      </vt:variant>
      <vt:variant>
        <vt:i4>917557</vt:i4>
      </vt:variant>
      <vt:variant>
        <vt:i4>21</vt:i4>
      </vt:variant>
      <vt:variant>
        <vt:i4>0</vt:i4>
      </vt:variant>
      <vt:variant>
        <vt:i4>5</vt:i4>
      </vt:variant>
      <vt:variant>
        <vt:lpwstr>https://irp.cdn-website.com/96a27c73/files/uploaded/Community Networks Aotearoa _ Better Banking 2023 Report.pdf</vt:lpwstr>
      </vt:variant>
      <vt:variant>
        <vt:lpwstr/>
      </vt:variant>
      <vt:variant>
        <vt:i4>5177439</vt:i4>
      </vt:variant>
      <vt:variant>
        <vt:i4>18</vt:i4>
      </vt:variant>
      <vt:variant>
        <vt:i4>0</vt:i4>
      </vt:variant>
      <vt:variant>
        <vt:i4>5</vt:i4>
      </vt:variant>
      <vt:variant>
        <vt:lpwstr>https://www.fincap.org.nz/blog/paying-the-price-a-report-into-issues-prisoners-face-around-access-to-banking/</vt:lpwstr>
      </vt:variant>
      <vt:variant>
        <vt:lpwstr/>
      </vt:variant>
      <vt:variant>
        <vt:i4>8257642</vt:i4>
      </vt:variant>
      <vt:variant>
        <vt:i4>15</vt:i4>
      </vt:variant>
      <vt:variant>
        <vt:i4>0</vt:i4>
      </vt:variant>
      <vt:variant>
        <vt:i4>5</vt:i4>
      </vt:variant>
      <vt:variant>
        <vt:lpwstr>https://www.westpac.co.nz/assets/Personal/life-money/documents/Westpac-NZ-Access-to-Banking-in-Aotearoa-Report.pdf</vt:lpwstr>
      </vt:variant>
      <vt:variant>
        <vt:lpwstr/>
      </vt:variant>
      <vt:variant>
        <vt:i4>7667751</vt:i4>
      </vt:variant>
      <vt:variant>
        <vt:i4>12</vt:i4>
      </vt:variant>
      <vt:variant>
        <vt:i4>0</vt:i4>
      </vt:variant>
      <vt:variant>
        <vt:i4>5</vt:i4>
      </vt:variant>
      <vt:variant>
        <vt:lpwstr>https://documents1.worldbank.org/curated/en/099011624132054588/pdf/P1787031cca90801019d011a41f21efe348.pdf</vt:lpwstr>
      </vt:variant>
      <vt:variant>
        <vt:lpwstr/>
      </vt:variant>
      <vt:variant>
        <vt:i4>3080224</vt:i4>
      </vt:variant>
      <vt:variant>
        <vt:i4>9</vt:i4>
      </vt:variant>
      <vt:variant>
        <vt:i4>0</vt:i4>
      </vt:variant>
      <vt:variant>
        <vt:i4>5</vt:i4>
      </vt:variant>
      <vt:variant>
        <vt:lpwstr>https://documents1.worldbank.org/curated/pt/403611493134249446/pdf/WPS8040.pdf</vt:lpwstr>
      </vt:variant>
      <vt:variant>
        <vt:lpwstr/>
      </vt:variant>
      <vt:variant>
        <vt:i4>131140</vt:i4>
      </vt:variant>
      <vt:variant>
        <vt:i4>6</vt:i4>
      </vt:variant>
      <vt:variant>
        <vt:i4>0</vt:i4>
      </vt:variant>
      <vt:variant>
        <vt:i4>5</vt:i4>
      </vt:variant>
      <vt:variant>
        <vt:lpwstr>https://www.rbnz.govt.nz/hub/publications/financial-inclusion-report/2025/first-steps-to-financial-inclusion</vt:lpwstr>
      </vt:variant>
      <vt:variant>
        <vt:lpwstr/>
      </vt:variant>
      <vt:variant>
        <vt:i4>3014781</vt:i4>
      </vt:variant>
      <vt:variant>
        <vt:i4>3</vt:i4>
      </vt:variant>
      <vt:variant>
        <vt:i4>0</vt:i4>
      </vt:variant>
      <vt:variant>
        <vt:i4>5</vt:i4>
      </vt:variant>
      <vt:variant>
        <vt:lpwstr>https://www.fma.govt.nz/assets/Research/Consumer-Confidence-Survey-Overview-Report-2024.pdf</vt:lpwstr>
      </vt:variant>
      <vt:variant>
        <vt:lpwstr/>
      </vt:variant>
      <vt:variant>
        <vt:i4>786504</vt:i4>
      </vt:variant>
      <vt:variant>
        <vt:i4>0</vt:i4>
      </vt:variant>
      <vt:variant>
        <vt:i4>0</vt:i4>
      </vt:variant>
      <vt:variant>
        <vt:i4>5</vt:i4>
      </vt:variant>
      <vt:variant>
        <vt:lpwstr>https://www.worldbank.org/en/publication/globalfindex</vt:lpwstr>
      </vt:variant>
      <vt:variant>
        <vt:lpwstr>:~:text=The%202021%20edition%2C%20based%20on,behaviors%20that%20enable%20financial%20resilience.</vt:lpwstr>
      </vt:variant>
      <vt:variant>
        <vt:i4>3997714</vt:i4>
      </vt:variant>
      <vt:variant>
        <vt:i4>0</vt:i4>
      </vt:variant>
      <vt:variant>
        <vt:i4>0</vt:i4>
      </vt:variant>
      <vt:variant>
        <vt:i4>5</vt:i4>
      </vt:variant>
      <vt:variant>
        <vt:lpwstr>mailto:Tom.Bayliss@rbnz.govt.nz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Bayliss</dc:creator>
  <cp:keywords/>
  <dc:description/>
  <cp:lastModifiedBy>Megan Simpson</cp:lastModifiedBy>
  <cp:revision>2</cp:revision>
  <cp:lastPrinted>2025-04-22T04:29:00Z</cp:lastPrinted>
  <dcterms:created xsi:type="dcterms:W3CDTF">2025-08-13T01:37:00Z</dcterms:created>
  <dcterms:modified xsi:type="dcterms:W3CDTF">2025-08-13T01:37:00Z</dcterms:modified>
  <cp:contentStatus>IN CONFIDENCE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0x010100E7F69E65D1F88F4BB937114D26D8E76A</vt:lpwstr>
  </property>
  <property fmtid="{D5CDD505-2E9C-101B-9397-08002B2CF9AE}" pid="3" name="MediaServiceImageTags">
    <vt:lpwstr/>
  </property>
  <property fmtid="{D5CDD505-2E9C-101B-9397-08002B2CF9AE}" pid="4" name="ClassificationContentMarkingHeaderShapeIds">
    <vt:lpwstr>74c37b80,1eecdfab,5f049f7a,7fcf8270,7f2d5d20,657aa419,1d0098b2,30b99ef0,35432ce2</vt:lpwstr>
  </property>
  <property fmtid="{D5CDD505-2E9C-101B-9397-08002B2CF9AE}" pid="5" name="ClassificationContentMarkingHeaderFontProps">
    <vt:lpwstr>#000000,10,Calibri</vt:lpwstr>
  </property>
  <property fmtid="{D5CDD505-2E9C-101B-9397-08002B2CF9AE}" pid="6" name="ClassificationContentMarkingHeaderText">
    <vt:lpwstr>UNCLASSIFIED</vt:lpwstr>
  </property>
  <property fmtid="{D5CDD505-2E9C-101B-9397-08002B2CF9AE}" pid="7" name="ClassificationContentMarkingFooterShapeIds">
    <vt:lpwstr>10c21d06,4fd99cda,5510f6c,31c69aae,10e9989d,5b7d1471,51b59dc8,f41bcc6,144f4646,3e24c79c</vt:lpwstr>
  </property>
  <property fmtid="{D5CDD505-2E9C-101B-9397-08002B2CF9AE}" pid="8" name="ClassificationContentMarkingFooterFontProps">
    <vt:lpwstr>#000000,10,Calibri</vt:lpwstr>
  </property>
  <property fmtid="{D5CDD505-2E9C-101B-9397-08002B2CF9AE}" pid="9" name="ClassificationContentMarkingFooterText">
    <vt:lpwstr>UNCLASSIFIED</vt:lpwstr>
  </property>
  <property fmtid="{D5CDD505-2E9C-101B-9397-08002B2CF9AE}" pid="10" name="MSIP_Label_5d084612-fdd7-4c96-b029-c9d0d9c6179f_Enabled">
    <vt:lpwstr>true</vt:lpwstr>
  </property>
  <property fmtid="{D5CDD505-2E9C-101B-9397-08002B2CF9AE}" pid="11" name="MSIP_Label_5d084612-fdd7-4c96-b029-c9d0d9c6179f_SetDate">
    <vt:lpwstr>2025-04-22T02:04:54Z</vt:lpwstr>
  </property>
  <property fmtid="{D5CDD505-2E9C-101B-9397-08002B2CF9AE}" pid="12" name="MSIP_Label_5d084612-fdd7-4c96-b029-c9d0d9c6179f_Method">
    <vt:lpwstr>Privileged</vt:lpwstr>
  </property>
  <property fmtid="{D5CDD505-2E9C-101B-9397-08002B2CF9AE}" pid="13" name="MSIP_Label_5d084612-fdd7-4c96-b029-c9d0d9c6179f_Name">
    <vt:lpwstr>UNCLASSIFIED_00</vt:lpwstr>
  </property>
  <property fmtid="{D5CDD505-2E9C-101B-9397-08002B2CF9AE}" pid="14" name="MSIP_Label_5d084612-fdd7-4c96-b029-c9d0d9c6179f_SiteId">
    <vt:lpwstr>ef09e631-f62d-48d5-8cdb-02f838550358</vt:lpwstr>
  </property>
  <property fmtid="{D5CDD505-2E9C-101B-9397-08002B2CF9AE}" pid="15" name="MSIP_Label_5d084612-fdd7-4c96-b029-c9d0d9c6179f_ActionId">
    <vt:lpwstr>7f1dd51b-f24e-4003-adb9-69a841b79f7f</vt:lpwstr>
  </property>
  <property fmtid="{D5CDD505-2E9C-101B-9397-08002B2CF9AE}" pid="16" name="MSIP_Label_5d084612-fdd7-4c96-b029-c9d0d9c6179f_ContentBits">
    <vt:lpwstr>3</vt:lpwstr>
  </property>
  <property fmtid="{D5CDD505-2E9C-101B-9397-08002B2CF9AE}" pid="17" name="MSIP_Label_5d084612-fdd7-4c96-b029-c9d0d9c6179f_Tag">
    <vt:lpwstr>10, 0, 1, 1</vt:lpwstr>
  </property>
</Properties>
</file>